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BDC" w:rsidRPr="00E55F6C" w:rsidRDefault="00217BDC" w:rsidP="0054190D">
      <w:pPr>
        <w:pStyle w:val="1"/>
        <w:numPr>
          <w:ilvl w:val="0"/>
          <w:numId w:val="0"/>
        </w:numPr>
        <w:spacing w:before="0"/>
        <w:ind w:left="5670"/>
        <w:jc w:val="right"/>
        <w:rPr>
          <w:rFonts w:ascii="Tahoma" w:eastAsia="Calibri" w:hAnsi="Tahoma" w:cs="Tahoma"/>
          <w:b w:val="0"/>
          <w:sz w:val="20"/>
          <w:lang w:eastAsia="en-US"/>
        </w:rPr>
      </w:pPr>
      <w:bookmarkStart w:id="0" w:name="_Toc478036620"/>
      <w:bookmarkStart w:id="1" w:name="_Toc478036646"/>
      <w:r w:rsidRPr="00E55F6C">
        <w:rPr>
          <w:rFonts w:ascii="Tahoma" w:eastAsia="Calibri" w:hAnsi="Tahoma" w:cs="Tahoma"/>
          <w:b w:val="0"/>
          <w:sz w:val="20"/>
          <w:lang w:eastAsia="en-US"/>
        </w:rPr>
        <w:t>Приложение №</w:t>
      </w:r>
      <w:r>
        <w:rPr>
          <w:rFonts w:ascii="Tahoma" w:eastAsia="Calibri" w:hAnsi="Tahoma" w:cs="Tahoma"/>
          <w:b w:val="0"/>
          <w:sz w:val="20"/>
          <w:lang w:eastAsia="en-US"/>
        </w:rPr>
        <w:t xml:space="preserve"> </w:t>
      </w:r>
      <w:bookmarkEnd w:id="0"/>
      <w:bookmarkEnd w:id="1"/>
      <w:r w:rsidR="008F470B">
        <w:rPr>
          <w:rFonts w:ascii="Tahoma" w:eastAsia="Calibri" w:hAnsi="Tahoma" w:cs="Tahoma"/>
          <w:b w:val="0"/>
          <w:sz w:val="20"/>
          <w:lang w:eastAsia="en-US"/>
        </w:rPr>
        <w:t>15</w:t>
      </w:r>
    </w:p>
    <w:p w:rsidR="00BD3ED0" w:rsidRPr="00BD3ED0" w:rsidRDefault="003927D7" w:rsidP="00BD3ED0">
      <w:pPr>
        <w:ind w:left="5670"/>
        <w:jc w:val="center"/>
        <w:rPr>
          <w:rFonts w:ascii="Tahoma" w:eastAsia="Calibri" w:hAnsi="Tahoma" w:cs="Tahoma"/>
          <w:b/>
          <w:sz w:val="20"/>
          <w:lang w:eastAsia="en-US"/>
        </w:rPr>
      </w:pPr>
      <w:r>
        <w:rPr>
          <w:rFonts w:ascii="Tahoma" w:eastAsia="Calibri" w:hAnsi="Tahoma" w:cs="Tahoma"/>
          <w:sz w:val="20"/>
          <w:lang w:eastAsia="en-US"/>
        </w:rPr>
        <w:t xml:space="preserve">к </w:t>
      </w:r>
      <w:r w:rsidR="0054190D">
        <w:rPr>
          <w:rFonts w:ascii="Tahoma" w:eastAsia="Calibri" w:hAnsi="Tahoma" w:cs="Tahoma"/>
          <w:sz w:val="20"/>
          <w:lang w:eastAsia="en-US"/>
        </w:rPr>
        <w:t xml:space="preserve">договору </w:t>
      </w:r>
      <w:r w:rsidR="00BD3ED0" w:rsidRPr="00BD3ED0">
        <w:rPr>
          <w:rFonts w:ascii="Tahoma" w:eastAsia="Calibri" w:hAnsi="Tahoma" w:cs="Tahoma"/>
          <w:sz w:val="20"/>
          <w:lang w:eastAsia="en-US"/>
        </w:rPr>
        <w:t>строительного подряда объектов капитального строительства</w:t>
      </w:r>
      <w:r w:rsidR="00BD3ED0" w:rsidRPr="00BD3ED0">
        <w:rPr>
          <w:rFonts w:ascii="Tahoma" w:eastAsia="Calibri" w:hAnsi="Tahoma" w:cs="Tahoma"/>
          <w:b/>
          <w:sz w:val="20"/>
          <w:lang w:eastAsia="en-US"/>
        </w:rPr>
        <w:t xml:space="preserve"> </w:t>
      </w:r>
    </w:p>
    <w:p w:rsidR="00217BDC" w:rsidRPr="008F31A7" w:rsidRDefault="0054190D" w:rsidP="00BD3ED0">
      <w:pPr>
        <w:pStyle w:val="1"/>
        <w:numPr>
          <w:ilvl w:val="0"/>
          <w:numId w:val="0"/>
        </w:numPr>
        <w:spacing w:before="0"/>
        <w:ind w:left="5670"/>
        <w:rPr>
          <w:rFonts w:ascii="Tahoma" w:eastAsia="Calibri" w:hAnsi="Tahoma" w:cs="Tahoma"/>
          <w:sz w:val="20"/>
          <w:lang w:eastAsia="en-US"/>
        </w:rPr>
      </w:pPr>
      <w:r>
        <w:rPr>
          <w:rFonts w:ascii="Tahoma" w:eastAsia="Calibri" w:hAnsi="Tahoma" w:cs="Tahoma"/>
          <w:b w:val="0"/>
          <w:sz w:val="20"/>
          <w:lang w:eastAsia="en-US"/>
        </w:rPr>
        <w:t>№_______</w:t>
      </w:r>
      <w:r w:rsidR="003927D7" w:rsidRPr="008F31A7">
        <w:rPr>
          <w:rFonts w:ascii="Tahoma" w:eastAsia="Calibri" w:hAnsi="Tahoma" w:cs="Tahoma"/>
          <w:b w:val="0"/>
          <w:sz w:val="20"/>
          <w:lang w:eastAsia="en-US"/>
        </w:rPr>
        <w:t xml:space="preserve">от «___» __________ 20___ г. </w:t>
      </w:r>
    </w:p>
    <w:p w:rsidR="003927D7" w:rsidRDefault="003927D7" w:rsidP="00217BDC">
      <w:pPr>
        <w:spacing w:before="0"/>
        <w:jc w:val="center"/>
        <w:rPr>
          <w:rFonts w:ascii="Tahoma" w:hAnsi="Tahoma"/>
          <w:b/>
          <w:bCs/>
          <w:sz w:val="22"/>
        </w:rPr>
      </w:pPr>
    </w:p>
    <w:p w:rsidR="00C93157" w:rsidRDefault="00C93157" w:rsidP="00217BDC">
      <w:pPr>
        <w:spacing w:before="0"/>
        <w:jc w:val="center"/>
        <w:rPr>
          <w:rFonts w:ascii="Tahoma" w:hAnsi="Tahoma"/>
          <w:b/>
          <w:bCs/>
          <w:sz w:val="22"/>
        </w:rPr>
      </w:pPr>
    </w:p>
    <w:p w:rsidR="00C93157" w:rsidRDefault="00C93157" w:rsidP="00217BDC">
      <w:pPr>
        <w:spacing w:before="0"/>
        <w:jc w:val="center"/>
        <w:rPr>
          <w:rFonts w:ascii="Tahoma" w:hAnsi="Tahoma"/>
          <w:b/>
          <w:bCs/>
          <w:sz w:val="22"/>
        </w:rPr>
      </w:pPr>
    </w:p>
    <w:p w:rsidR="00217BDC" w:rsidRDefault="00217BDC" w:rsidP="00217BDC">
      <w:pPr>
        <w:spacing w:before="0"/>
        <w:jc w:val="center"/>
        <w:rPr>
          <w:rFonts w:ascii="Tahoma" w:hAnsi="Tahoma"/>
          <w:b/>
          <w:sz w:val="22"/>
          <w:szCs w:val="24"/>
        </w:rPr>
      </w:pPr>
      <w:r w:rsidRPr="001E5740">
        <w:rPr>
          <w:rFonts w:ascii="Tahoma" w:hAnsi="Tahoma"/>
          <w:b/>
          <w:bCs/>
          <w:sz w:val="22"/>
        </w:rPr>
        <w:t>Примерный п</w:t>
      </w:r>
      <w:r w:rsidRPr="001E5740">
        <w:rPr>
          <w:rFonts w:ascii="Tahoma" w:hAnsi="Tahoma"/>
          <w:b/>
          <w:sz w:val="22"/>
          <w:szCs w:val="24"/>
        </w:rPr>
        <w:t xml:space="preserve">еречень нарушений, допускающих приостановку работ </w:t>
      </w:r>
    </w:p>
    <w:p w:rsidR="00217BDC" w:rsidRPr="00C60784" w:rsidRDefault="003F38AD" w:rsidP="00217BDC">
      <w:pPr>
        <w:spacing w:before="0"/>
        <w:jc w:val="center"/>
        <w:rPr>
          <w:bCs/>
          <w:sz w:val="26"/>
        </w:rPr>
      </w:pPr>
      <w:r>
        <w:rPr>
          <w:rFonts w:ascii="Tahoma" w:hAnsi="Tahoma"/>
          <w:b/>
          <w:sz w:val="22"/>
          <w:szCs w:val="24"/>
        </w:rPr>
        <w:t>Подрядчика</w:t>
      </w:r>
    </w:p>
    <w:p w:rsidR="00217BDC" w:rsidRPr="00CE0C71" w:rsidRDefault="00217BDC" w:rsidP="00217BDC">
      <w:pPr>
        <w:spacing w:before="240" w:after="240"/>
        <w:ind w:firstLine="709"/>
        <w:jc w:val="left"/>
        <w:rPr>
          <w:rFonts w:ascii="Tahoma" w:hAnsi="Tahoma" w:cs="Tahoma"/>
          <w:b/>
          <w:i/>
          <w:sz w:val="22"/>
          <w:szCs w:val="22"/>
          <w:u w:val="single"/>
        </w:rPr>
      </w:pPr>
      <w:r>
        <w:rPr>
          <w:rFonts w:ascii="Tahoma" w:hAnsi="Tahoma" w:cs="Tahoma"/>
          <w:b/>
          <w:i/>
          <w:sz w:val="22"/>
          <w:szCs w:val="22"/>
          <w:u w:val="single"/>
        </w:rPr>
        <w:t>П</w:t>
      </w:r>
      <w:r w:rsidRPr="00CE0C71">
        <w:rPr>
          <w:rFonts w:ascii="Tahoma" w:hAnsi="Tahoma" w:cs="Tahoma"/>
          <w:b/>
          <w:i/>
          <w:sz w:val="22"/>
          <w:szCs w:val="22"/>
          <w:u w:val="single"/>
        </w:rPr>
        <w:t>ри производстве строительных работ, реконструкции, модернизации</w:t>
      </w:r>
    </w:p>
    <w:p w:rsidR="00217BDC" w:rsidRPr="00162476" w:rsidRDefault="00217BDC" w:rsidP="0047010E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 xml:space="preserve">1. Неподготовленность участков работ, площадок под строительство к обеспечению безопасного производства работ: </w:t>
      </w:r>
    </w:p>
    <w:p w:rsidR="00217BDC" w:rsidRPr="00162476" w:rsidRDefault="00217BDC" w:rsidP="0047010E">
      <w:pPr>
        <w:numPr>
          <w:ilvl w:val="0"/>
          <w:numId w:val="2"/>
        </w:numPr>
        <w:spacing w:before="0" w:line="360" w:lineRule="auto"/>
        <w:ind w:left="284" w:hanging="284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не выполнены подготовительные меропр</w:t>
      </w:r>
      <w:r>
        <w:rPr>
          <w:rFonts w:ascii="Tahoma" w:hAnsi="Tahoma" w:cs="Tahoma"/>
          <w:sz w:val="22"/>
          <w:szCs w:val="22"/>
        </w:rPr>
        <w:t>иятия, изложенные в ПОС или ППР;</w:t>
      </w:r>
    </w:p>
    <w:p w:rsidR="00217BDC" w:rsidRPr="00162476" w:rsidRDefault="00217BDC" w:rsidP="0047010E">
      <w:pPr>
        <w:numPr>
          <w:ilvl w:val="0"/>
          <w:numId w:val="2"/>
        </w:numPr>
        <w:spacing w:before="0" w:line="360" w:lineRule="auto"/>
        <w:ind w:left="284" w:hanging="284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окончание подготовительных работ не принято по акту, который подписывают представители Заказчика и Подрядчиков.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6.1.1. СНиП 12-03-2001 «Безопасность труда в строительстве. Часть 1. Общие требования.»).</w:t>
      </w:r>
    </w:p>
    <w:p w:rsidR="00217BDC" w:rsidRPr="00162476" w:rsidRDefault="00217BDC" w:rsidP="0047010E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2. Территория строительства не ограждена требуемыми защитными ограждениями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(высота не менее 1,6 м, ограждения должны иметь ворота и калитки).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6.2.2. СНиП 12-03-2001 «Безопасность труда в строительстве. Часть 1. Общие требования.»).</w:t>
      </w:r>
    </w:p>
    <w:p w:rsidR="00217BDC" w:rsidRPr="00162476" w:rsidRDefault="00217BDC" w:rsidP="0047010E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3. Отсутствие в темное время суток освещения места производства работ, проездов и проходов к ним.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6.2.11. СНиП 12-03-2001 «Безопасность труда в строительстве. Часть 1. Общие требования.»).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4. Отсутствие укрытий крышками, щитами, или нет ограждения колодцев, шурфов под сваи и других выемок.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6.2.14. СНиП 12-03-2001 «Безопасность труда в строительстве. Часть 1. Общие требования.»).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5. Не выделены внизу опасные зоны при выполнении работ на высоте (ограждения, плакаты и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т.д</w:t>
      </w:r>
      <w:r>
        <w:rPr>
          <w:rFonts w:ascii="Tahoma" w:hAnsi="Tahoma" w:cs="Tahoma"/>
          <w:sz w:val="22"/>
          <w:szCs w:val="22"/>
        </w:rPr>
        <w:t>.</w:t>
      </w:r>
      <w:r w:rsidRPr="00162476">
        <w:rPr>
          <w:rFonts w:ascii="Tahoma" w:hAnsi="Tahoma" w:cs="Tahoma"/>
          <w:sz w:val="22"/>
          <w:szCs w:val="22"/>
        </w:rPr>
        <w:t>).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6.2.21. СНиП 12-03-2001 «Безопасность труда в строительстве. Часть 1. Общие требования.»).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6. Начало строительно-монтажных, ремонтных работ без оформления «Акта-допуска» установленного образца, подписанного представителями заказчика и подрядчика.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4.6. СНиП 12-03-2001 «Безопасность труда в строительстве. Часть 1. Общие требования.»).</w:t>
      </w:r>
    </w:p>
    <w:p w:rsidR="00217BDC" w:rsidRDefault="00217BDC" w:rsidP="002516FA">
      <w:pPr>
        <w:tabs>
          <w:tab w:val="left" w:pos="993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7.</w:t>
      </w:r>
      <w:r w:rsidR="002516FA">
        <w:rPr>
          <w:rFonts w:ascii="Tahoma" w:hAnsi="Tahoma" w:cs="Tahoma"/>
          <w:sz w:val="22"/>
          <w:szCs w:val="22"/>
        </w:rPr>
        <w:tab/>
      </w:r>
      <w:r w:rsidRPr="00162476">
        <w:rPr>
          <w:rFonts w:ascii="Tahoma" w:hAnsi="Tahoma" w:cs="Tahoma"/>
          <w:sz w:val="22"/>
          <w:szCs w:val="22"/>
        </w:rPr>
        <w:t>Отсутствие графика выполнения совмещенных работ, обеспечивающего безопасные условия труда, если генподрядчик выполняет работы на объекте с участием субподрядчиков.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4.7. СНиП 12-03-2001 «Безопасность труда в строительстве. Часть 1. Общие требования.»).</w:t>
      </w:r>
    </w:p>
    <w:p w:rsidR="00217BDC" w:rsidRPr="00CE0C71" w:rsidRDefault="00217BDC" w:rsidP="00217BDC">
      <w:pPr>
        <w:spacing w:before="240" w:after="240"/>
        <w:ind w:firstLine="709"/>
        <w:jc w:val="left"/>
        <w:rPr>
          <w:rFonts w:ascii="Tahoma" w:hAnsi="Tahoma" w:cs="Tahoma"/>
          <w:b/>
          <w:i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br w:type="page"/>
      </w:r>
      <w:r w:rsidRPr="00520EC3">
        <w:rPr>
          <w:rFonts w:ascii="Tahoma" w:hAnsi="Tahoma" w:cs="Tahoma"/>
          <w:b/>
          <w:i/>
          <w:sz w:val="22"/>
          <w:szCs w:val="22"/>
          <w:u w:val="single"/>
        </w:rPr>
        <w:lastRenderedPageBreak/>
        <w:t>При производстве</w:t>
      </w:r>
      <w:r w:rsidRPr="00CE0C71">
        <w:rPr>
          <w:rFonts w:ascii="Tahoma" w:hAnsi="Tahoma" w:cs="Tahoma"/>
          <w:b/>
          <w:i/>
          <w:sz w:val="22"/>
          <w:szCs w:val="22"/>
          <w:u w:val="single"/>
        </w:rPr>
        <w:t xml:space="preserve"> работ на высоте</w:t>
      </w:r>
    </w:p>
    <w:p w:rsidR="00217BDC" w:rsidRPr="00162476" w:rsidRDefault="00217BDC" w:rsidP="00217BDC">
      <w:pPr>
        <w:tabs>
          <w:tab w:val="left" w:pos="0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Работы со случайных подставок (ящиков, бочек и.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т.п.), а также с ферм, стро</w:t>
      </w:r>
      <w:r w:rsidR="004C1395">
        <w:rPr>
          <w:rFonts w:ascii="Tahoma" w:hAnsi="Tahoma" w:cs="Tahoma"/>
          <w:sz w:val="22"/>
          <w:szCs w:val="22"/>
        </w:rPr>
        <w:t>пил и т.п. (Нарушение п. 2.2.46.</w:t>
      </w:r>
      <w:r w:rsidRPr="00162476">
        <w:rPr>
          <w:rFonts w:ascii="Tahoma" w:hAnsi="Tahoma" w:cs="Tahoma"/>
          <w:sz w:val="22"/>
          <w:szCs w:val="22"/>
        </w:rPr>
        <w:t xml:space="preserve"> Межотраслевые правила по охране труда при работе на высоте, ПОТ РМ -012 -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2000).</w:t>
      </w:r>
    </w:p>
    <w:p w:rsidR="00217BDC" w:rsidRPr="00162476" w:rsidRDefault="00217BDC" w:rsidP="00217BDC">
      <w:pPr>
        <w:tabs>
          <w:tab w:val="left" w:pos="0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Выполнение газо- и электросварочных работ, работ с использованием электрического и пневматического инструмента, строительно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- монтажных пистолетов с переносных лестниц и стремянок.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2.3.18. Межотраслевые правила по охране труда при работе на высоте, ПОТ РМ -012 -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2000).</w:t>
      </w:r>
    </w:p>
    <w:p w:rsidR="00217BDC" w:rsidRPr="00162476" w:rsidRDefault="00217BDC" w:rsidP="00217BDC">
      <w:pPr>
        <w:tabs>
          <w:tab w:val="left" w:pos="0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3. Использование в работе лестниц и стремянок без указания на них: инвентарного номера, даты следующего испытания и принадлежности цеху или организации.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2.3.2. Межотраслевые правила по охране труда при работе на высоте, ПОТ РМ -012 -</w:t>
      </w:r>
      <w:r>
        <w:rPr>
          <w:rFonts w:ascii="Tahoma" w:hAnsi="Tahoma" w:cs="Tahoma"/>
          <w:sz w:val="22"/>
          <w:szCs w:val="22"/>
        </w:rPr>
        <w:t> </w:t>
      </w:r>
      <w:r w:rsidRPr="00162476">
        <w:rPr>
          <w:rFonts w:ascii="Tahoma" w:hAnsi="Tahoma" w:cs="Tahoma"/>
          <w:sz w:val="22"/>
          <w:szCs w:val="22"/>
        </w:rPr>
        <w:t>2000).</w:t>
      </w:r>
    </w:p>
    <w:p w:rsidR="00217BDC" w:rsidRPr="00162476" w:rsidRDefault="00217BDC" w:rsidP="00217BDC">
      <w:pPr>
        <w:tabs>
          <w:tab w:val="left" w:pos="0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4. Работа с лесов, подмостей, других средств подмащивания, рабочий настил которых расположен на высоте 1,3 м и более от поверхности земли или перекрытия, без перильного и бортового ограждения.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2.2.6. Межотраслевые правила по охране труда при работе на высоте, ПОТ РМ -012 -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2000).</w:t>
      </w:r>
    </w:p>
    <w:p w:rsidR="00217BDC" w:rsidRPr="00162476" w:rsidRDefault="00217BDC" w:rsidP="00217BDC">
      <w:pPr>
        <w:tabs>
          <w:tab w:val="left" w:pos="0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5. Эксплуатация предохранительного пояса, не прошедшего испытания статической нагрузкой по методике, приведенной в стандартах или технических условиях на пояса конкретных конструкций, перед выдачей в эксплуатацию, а также  через каждые 6 месяцев.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4.1.18. Межотраслевые правила по охране труда при работе на высоте, ПОТ РМ -012 -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2000).</w:t>
      </w:r>
    </w:p>
    <w:p w:rsidR="00217BDC" w:rsidRPr="00162476" w:rsidRDefault="00217BDC" w:rsidP="00217BDC">
      <w:pPr>
        <w:tabs>
          <w:tab w:val="left" w:pos="0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6. Применение при проведении газо – и электросварочных работ предохранительного пояса без стропа не с  металлической цепью.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6.1.5. Межотраслевые правила по охране труда при работе на высоте, ПОТ РМ 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012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2000).</w:t>
      </w:r>
    </w:p>
    <w:p w:rsidR="00217BDC" w:rsidRPr="00162476" w:rsidRDefault="00217BDC" w:rsidP="00217BDC">
      <w:pPr>
        <w:tabs>
          <w:tab w:val="left" w:pos="0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7. Выполнение работ на высоте без оформления наряда-допуска на работы, которые относятся к работам повышенной опасности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6.15.2. . Межотраслевые правила по охране труда при работе на высоте, ПОТ РМ -012 -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2000).</w:t>
      </w:r>
    </w:p>
    <w:p w:rsidR="00217BDC" w:rsidRPr="00162476" w:rsidRDefault="00217BDC" w:rsidP="00217BDC">
      <w:pPr>
        <w:tabs>
          <w:tab w:val="left" w:pos="0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8</w:t>
      </w:r>
      <w:r w:rsidR="00C93157">
        <w:rPr>
          <w:rFonts w:ascii="Tahoma" w:hAnsi="Tahoma" w:cs="Tahoma"/>
          <w:sz w:val="22"/>
          <w:szCs w:val="22"/>
        </w:rPr>
        <w:t>.</w:t>
      </w:r>
      <w:r w:rsidRPr="00162476">
        <w:rPr>
          <w:rFonts w:ascii="Tahoma" w:hAnsi="Tahoma" w:cs="Tahoma"/>
          <w:sz w:val="22"/>
          <w:szCs w:val="22"/>
        </w:rPr>
        <w:t xml:space="preserve"> Работы с приставной лестницы на высоте более 1,3 м без применения предохранительного пояс, прикрепляемого к конструкции сооружения или к лестнице при условии ее закрепления к строительной или другой конструкции.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2.3.7. Межотраслевые правила по охране труда при работе на высоте, ПОТ РМ -012 -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2000).</w:t>
      </w:r>
    </w:p>
    <w:p w:rsidR="00217BDC" w:rsidRPr="005D530D" w:rsidRDefault="00217BDC" w:rsidP="00217BDC">
      <w:pPr>
        <w:spacing w:before="240" w:after="240"/>
        <w:ind w:firstLine="709"/>
        <w:jc w:val="left"/>
        <w:rPr>
          <w:rFonts w:ascii="Tahoma" w:hAnsi="Tahoma" w:cs="Tahoma"/>
          <w:b/>
          <w:i/>
          <w:sz w:val="22"/>
          <w:szCs w:val="22"/>
          <w:u w:val="single"/>
        </w:rPr>
      </w:pPr>
      <w:r>
        <w:rPr>
          <w:rFonts w:ascii="Tahoma" w:hAnsi="Tahoma" w:cs="Tahoma"/>
          <w:b/>
          <w:i/>
          <w:sz w:val="22"/>
          <w:szCs w:val="22"/>
          <w:u w:val="single"/>
        </w:rPr>
        <w:br w:type="page"/>
      </w:r>
      <w:r>
        <w:rPr>
          <w:rFonts w:ascii="Tahoma" w:hAnsi="Tahoma" w:cs="Tahoma"/>
          <w:b/>
          <w:i/>
          <w:sz w:val="22"/>
          <w:szCs w:val="22"/>
          <w:u w:val="single"/>
        </w:rPr>
        <w:lastRenderedPageBreak/>
        <w:t>П</w:t>
      </w:r>
      <w:r w:rsidRPr="005D530D">
        <w:rPr>
          <w:rFonts w:ascii="Tahoma" w:hAnsi="Tahoma" w:cs="Tahoma"/>
          <w:b/>
          <w:i/>
          <w:sz w:val="22"/>
          <w:szCs w:val="22"/>
          <w:u w:val="single"/>
        </w:rPr>
        <w:t>ри производстве земляных работ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1. Производство земляных работ без получения разрешения на их производство, без разработки ПОР, ППР.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8.10. «Общие правила безопасности для металлургических и коксохимических предприятий и производств. ОПБ в МП-2002»).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2. Отсутствие защитных и сигнальных ограждений вокруг  вырытых  котлованов, канав, траншей; отсутствие на ограждениях  знаков безопасности, указателей обходов, объездов. (Нарушение п. 5.2.2. СНиП 12-03-2001 « Безопасность  труда в строительстве. Часть 2. Строительное производство»,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8.9. «Общие правила безопасности для металлургических и коксохимических предприятий и производств. ОПБ в МП-2002»).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3. Отсутствие в местах перехода через траншеи, ямы, канавы переходных мостиков установленных размеров, или, если это невозможно, установка их (мостиков) в обход выемок, или рядом с ними. (Нарушение п.</w:t>
      </w:r>
      <w:r>
        <w:rPr>
          <w:rFonts w:ascii="Tahoma" w:hAnsi="Tahoma" w:cs="Tahoma"/>
          <w:sz w:val="22"/>
          <w:szCs w:val="22"/>
        </w:rPr>
        <w:t xml:space="preserve"> 6.2.9. СНиП 12-03-2001 «</w:t>
      </w:r>
      <w:r w:rsidRPr="00162476">
        <w:rPr>
          <w:rFonts w:ascii="Tahoma" w:hAnsi="Tahoma" w:cs="Tahoma"/>
          <w:sz w:val="22"/>
          <w:szCs w:val="22"/>
        </w:rPr>
        <w:t>Безопасность труда в строительстве. Часть 1.Общие требования»</w:t>
      </w:r>
      <w:r>
        <w:rPr>
          <w:rFonts w:ascii="Tahoma" w:hAnsi="Tahoma" w:cs="Tahoma"/>
          <w:sz w:val="22"/>
          <w:szCs w:val="22"/>
        </w:rPr>
        <w:t>)</w:t>
      </w:r>
      <w:r w:rsidRPr="00162476">
        <w:rPr>
          <w:rFonts w:ascii="Tahoma" w:hAnsi="Tahoma" w:cs="Tahoma"/>
          <w:sz w:val="22"/>
          <w:szCs w:val="22"/>
        </w:rPr>
        <w:t>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4. Установка  землеройной или другой техники вблизи выемок (котлованов, траншей, канав) с нарушением минимального расстояния от основания откосов выемки до ближайших опор машины.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 xml:space="preserve">7.2.4. </w:t>
      </w:r>
      <w:r>
        <w:rPr>
          <w:rFonts w:ascii="Tahoma" w:hAnsi="Tahoma" w:cs="Tahoma"/>
          <w:sz w:val="22"/>
          <w:szCs w:val="22"/>
        </w:rPr>
        <w:t xml:space="preserve">СНиП 12-03-2001 «Безопасность </w:t>
      </w:r>
      <w:r w:rsidRPr="00162476">
        <w:rPr>
          <w:rFonts w:ascii="Tahoma" w:hAnsi="Tahoma" w:cs="Tahoma"/>
          <w:sz w:val="22"/>
          <w:szCs w:val="22"/>
        </w:rPr>
        <w:t>труда в строительстве. Часть 1. Общие требования»).</w:t>
      </w:r>
    </w:p>
    <w:p w:rsidR="00217BDC" w:rsidRPr="0056134D" w:rsidRDefault="00217BDC" w:rsidP="00217BDC">
      <w:pPr>
        <w:spacing w:before="240" w:after="240"/>
        <w:ind w:firstLine="709"/>
        <w:jc w:val="left"/>
        <w:rPr>
          <w:rFonts w:ascii="Tahoma" w:hAnsi="Tahoma" w:cs="Tahoma"/>
          <w:b/>
          <w:i/>
          <w:sz w:val="22"/>
          <w:szCs w:val="22"/>
          <w:u w:val="single"/>
        </w:rPr>
      </w:pPr>
      <w:r>
        <w:rPr>
          <w:rFonts w:ascii="Tahoma" w:hAnsi="Tahoma" w:cs="Tahoma"/>
          <w:b/>
          <w:i/>
          <w:sz w:val="22"/>
          <w:szCs w:val="22"/>
          <w:u w:val="single"/>
        </w:rPr>
        <w:t>П</w:t>
      </w:r>
      <w:r w:rsidRPr="0056134D">
        <w:rPr>
          <w:rFonts w:ascii="Tahoma" w:hAnsi="Tahoma" w:cs="Tahoma"/>
          <w:b/>
          <w:i/>
          <w:sz w:val="22"/>
          <w:szCs w:val="22"/>
          <w:u w:val="single"/>
        </w:rPr>
        <w:t>ри производстве электро- и газосварочных работ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1. Перевозка, хранение, выдача и получение газовых баллонов производится лицами, не прошедшими обучение и не имеющими соответствующего удостоверения (Нарушение п.</w:t>
      </w:r>
      <w:r>
        <w:rPr>
          <w:rFonts w:ascii="Tahoma" w:hAnsi="Tahoma" w:cs="Tahoma"/>
          <w:sz w:val="22"/>
          <w:szCs w:val="22"/>
        </w:rPr>
        <w:t> </w:t>
      </w:r>
      <w:r w:rsidRPr="00162476">
        <w:rPr>
          <w:rFonts w:ascii="Tahoma" w:hAnsi="Tahoma" w:cs="Tahoma"/>
          <w:sz w:val="22"/>
          <w:szCs w:val="22"/>
        </w:rPr>
        <w:t>2.17.5. Межотраслевые правила по ОТ при электро- и газосварочных работах, ПОТ РМ 020</w:t>
      </w:r>
      <w:r>
        <w:rPr>
          <w:rFonts w:ascii="Tahoma" w:hAnsi="Tahoma" w:cs="Tahoma"/>
          <w:sz w:val="22"/>
          <w:szCs w:val="22"/>
        </w:rPr>
        <w:t xml:space="preserve"> – </w:t>
      </w:r>
      <w:r w:rsidRPr="00162476">
        <w:rPr>
          <w:rFonts w:ascii="Tahoma" w:hAnsi="Tahoma" w:cs="Tahoma"/>
          <w:sz w:val="22"/>
          <w:szCs w:val="22"/>
        </w:rPr>
        <w:t>2001)</w:t>
      </w:r>
      <w:r>
        <w:rPr>
          <w:rFonts w:ascii="Tahoma" w:hAnsi="Tahoma" w:cs="Tahoma"/>
          <w:sz w:val="22"/>
          <w:szCs w:val="22"/>
        </w:rPr>
        <w:t>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2. Транспортировка и хранение баллонов с горючими и сжиженными газами без заглушек и навернутых защитных колпаков.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10.3.26. Правила устройства и безопасной эксплуатации сосудов, работающих под давлением, ПБ 03-576-03).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3. Производство огневых работ (электросварочных и газопламенных) без соблюдения требований пожарной безопасности:</w:t>
      </w:r>
    </w:p>
    <w:p w:rsidR="00217BDC" w:rsidRPr="00162476" w:rsidRDefault="00217BDC" w:rsidP="00217BDC">
      <w:pPr>
        <w:numPr>
          <w:ilvl w:val="0"/>
          <w:numId w:val="3"/>
        </w:numPr>
        <w:spacing w:before="0" w:line="360" w:lineRule="auto"/>
        <w:ind w:left="284" w:hanging="284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не освобождение места работ от сгораемых материалов в радиусе не менее 5 метров, отсутствие укрытия несгораемым материалом расположенных на нижнем уровне горючих материалов, или освобождение от них;</w:t>
      </w:r>
    </w:p>
    <w:p w:rsidR="00217BDC" w:rsidRPr="00162476" w:rsidRDefault="00217BDC" w:rsidP="00217BDC">
      <w:pPr>
        <w:numPr>
          <w:ilvl w:val="0"/>
          <w:numId w:val="3"/>
        </w:numPr>
        <w:spacing w:before="0" w:line="360" w:lineRule="auto"/>
        <w:ind w:left="284" w:hanging="284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не выполнение требований безопасности, изложенных в наряде-допуске.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(Нарушение п.</w:t>
      </w:r>
      <w:r>
        <w:rPr>
          <w:rFonts w:ascii="Tahoma" w:hAnsi="Tahoma" w:cs="Tahoma"/>
          <w:sz w:val="22"/>
          <w:szCs w:val="22"/>
        </w:rPr>
        <w:t> </w:t>
      </w:r>
      <w:r w:rsidRPr="00162476">
        <w:rPr>
          <w:rFonts w:ascii="Tahoma" w:hAnsi="Tahoma" w:cs="Tahoma"/>
          <w:sz w:val="22"/>
          <w:szCs w:val="22"/>
        </w:rPr>
        <w:t>9.1.3 СНиП 12-03-2001 «Безопасность труда в строительстве. Часть 1;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П.2.19.4.,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2.19.6. «Межотраслевые правила по ОТ при электро- и газосварочных работах, ПОТ РМ 020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-2001).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lastRenderedPageBreak/>
        <w:t>4. Подключение сварочных кабелей к сварочному оборудованию, соединение между собой с помощью скруток, к источнику питания - напрямую.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(Нарушение п.п.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2.18.12.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-2.18.14., 2.18.17. Межотраслевые правила по ОТ при электро- и газосварочных работах, ПОТ РМ 020-2001).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5.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Использование в качестве обратного провода сети заземления металлических строительных конструкций здания, коммуникаций и несварочного технологического оборудования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2.18.23. Межотраслевые правила по ОТ при электро- и газосварочных работах, ПОТ РМ 020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2001).</w:t>
      </w:r>
    </w:p>
    <w:p w:rsidR="00217BDC" w:rsidRPr="00162476" w:rsidRDefault="00217BDC" w:rsidP="00217BDC">
      <w:pPr>
        <w:pStyle w:val="ConsNormal"/>
        <w:widowControl/>
        <w:spacing w:line="360" w:lineRule="auto"/>
        <w:ind w:right="0" w:firstLine="709"/>
        <w:jc w:val="both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6. Проведение сварочных работ с незаземленным сварочным аппаратом. Последовательное включение в заземляющий проводник нескольких аппаратов. 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2.18.21. Межотраслевые правила по ОТ при электро- и газосварочных работах, ПОТ РМ 020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2001).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7. Соприкосновение баллонов, шлангов с токоведущими проводами. (Нарушение п.</w:t>
      </w:r>
      <w:r>
        <w:rPr>
          <w:rFonts w:ascii="Tahoma" w:hAnsi="Tahoma" w:cs="Tahoma"/>
          <w:sz w:val="22"/>
          <w:szCs w:val="22"/>
        </w:rPr>
        <w:t> </w:t>
      </w:r>
      <w:r w:rsidRPr="00162476">
        <w:rPr>
          <w:rFonts w:ascii="Tahoma" w:hAnsi="Tahoma" w:cs="Tahoma"/>
          <w:sz w:val="22"/>
          <w:szCs w:val="22"/>
        </w:rPr>
        <w:t>2.15.18. Межотраслевые правила по ОТ при электро- и газосварочных работах, ПОТ РМ 020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2001).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8. Применение дефектных шлангов, а также подмотка мест разрушения изолентой или другим материалом.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2.15.27. Межотраслевые правила по ОТ при электро- и газосварочных работах, ПОТ РМ 020-2001).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9. Разогрев баллонов с газами открытым пламенем.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9.1.5. СНиП 12-03-2001 «Безопасность труда в строительстве.» Часть 1.)</w:t>
      </w:r>
    </w:p>
    <w:p w:rsidR="00217BDC" w:rsidRPr="0056134D" w:rsidRDefault="00217BDC" w:rsidP="00217BDC">
      <w:pPr>
        <w:spacing w:before="240" w:after="240"/>
        <w:ind w:firstLine="709"/>
        <w:jc w:val="left"/>
        <w:rPr>
          <w:rFonts w:ascii="Tahoma" w:hAnsi="Tahoma" w:cs="Tahoma"/>
          <w:b/>
          <w:i/>
          <w:sz w:val="22"/>
          <w:szCs w:val="22"/>
          <w:u w:val="single"/>
        </w:rPr>
      </w:pPr>
      <w:r>
        <w:rPr>
          <w:rFonts w:ascii="Tahoma" w:hAnsi="Tahoma" w:cs="Tahoma"/>
          <w:b/>
          <w:i/>
          <w:sz w:val="22"/>
          <w:szCs w:val="22"/>
          <w:u w:val="single"/>
        </w:rPr>
        <w:t>П</w:t>
      </w:r>
      <w:r w:rsidRPr="0056134D">
        <w:rPr>
          <w:rFonts w:ascii="Tahoma" w:hAnsi="Tahoma" w:cs="Tahoma"/>
          <w:b/>
          <w:i/>
          <w:sz w:val="22"/>
          <w:szCs w:val="22"/>
          <w:u w:val="single"/>
        </w:rPr>
        <w:t>ри эксплуатации ГПМ (краны всех типов)</w:t>
      </w:r>
    </w:p>
    <w:p w:rsidR="00217BDC" w:rsidRPr="00162476" w:rsidRDefault="00217BDC" w:rsidP="00217BDC">
      <w:pPr>
        <w:tabs>
          <w:tab w:val="left" w:pos="1380"/>
        </w:tabs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1. Эксплуатация кранов, не прошедших частичное или полное освидетельствование</w:t>
      </w:r>
    </w:p>
    <w:p w:rsidR="00217BDC" w:rsidRPr="00162476" w:rsidRDefault="00217BDC" w:rsidP="00217BDC">
      <w:pPr>
        <w:spacing w:before="0" w:line="360" w:lineRule="auto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(отсутствие записей в паспорте крана, отсутствие на конструкции крана таблички с необходимыми сведениями).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9.3.2, 9.5.5. Правила устройства и безопасной эксплуатации грузоподъемных кранов. ПБ 10-382-00)</w:t>
      </w:r>
      <w:r>
        <w:rPr>
          <w:rFonts w:ascii="Tahoma" w:hAnsi="Tahoma" w:cs="Tahoma"/>
          <w:sz w:val="22"/>
          <w:szCs w:val="22"/>
        </w:rPr>
        <w:t>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2. Эксплуатация неисправных съемных грузозахватных приспособлений, а также приспособлений, не имеющих бирок (клейм); эксплуатация или нахождение в местах производства работ немаркированной и поврежденной тары.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9.5.6. Правила устройства и безопасной эксплуатации грузоподъемных</w:t>
      </w:r>
      <w:r>
        <w:rPr>
          <w:rFonts w:ascii="Tahoma" w:hAnsi="Tahoma" w:cs="Tahoma"/>
          <w:sz w:val="22"/>
          <w:szCs w:val="22"/>
        </w:rPr>
        <w:t xml:space="preserve"> кранов. </w:t>
      </w:r>
      <w:r w:rsidRPr="00162476">
        <w:rPr>
          <w:rFonts w:ascii="Tahoma" w:hAnsi="Tahoma" w:cs="Tahoma"/>
          <w:sz w:val="22"/>
          <w:szCs w:val="22"/>
        </w:rPr>
        <w:t>ПБ 10-382-00)</w:t>
      </w:r>
      <w:r>
        <w:rPr>
          <w:rFonts w:ascii="Tahoma" w:hAnsi="Tahoma" w:cs="Tahoma"/>
          <w:sz w:val="22"/>
          <w:szCs w:val="22"/>
        </w:rPr>
        <w:t>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3.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Отсутствие на месте постоянного производства работ, или у стропальщиков и крановщиков схем строповки, способов обвязки грузов, перемещаемых кранами, с указанием их веса. (Нарушение п. 9.5.12. Правила устройства и безопасной эксплуатации грузоподъемных кранов. ПБ 10-382-00)</w:t>
      </w:r>
      <w:r>
        <w:rPr>
          <w:rFonts w:ascii="Tahoma" w:hAnsi="Tahoma" w:cs="Tahoma"/>
          <w:sz w:val="22"/>
          <w:szCs w:val="22"/>
        </w:rPr>
        <w:t>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 xml:space="preserve">4. Работа крана вблизи ЛЭП без оформления наряда-допуска, либо без проведения инструктажа крановщику и стропальщикам и выдачи н/д крановщику на руки. Самовольная </w:t>
      </w:r>
      <w:r w:rsidRPr="00162476">
        <w:rPr>
          <w:rFonts w:ascii="Tahoma" w:hAnsi="Tahoma" w:cs="Tahoma"/>
          <w:sz w:val="22"/>
          <w:szCs w:val="22"/>
        </w:rPr>
        <w:lastRenderedPageBreak/>
        <w:t>установка крана вблизи ЛЭП крановщиком (без указания лица, ответственного за безопасное производство работ кранами и записи об этом в путевом листе). (Нарушение п.</w:t>
      </w:r>
      <w:r>
        <w:rPr>
          <w:rFonts w:ascii="Tahoma" w:hAnsi="Tahoma" w:cs="Tahoma"/>
          <w:sz w:val="22"/>
          <w:szCs w:val="22"/>
        </w:rPr>
        <w:t xml:space="preserve"> 9.5.17. </w:t>
      </w:r>
      <w:r w:rsidRPr="00162476">
        <w:rPr>
          <w:rFonts w:ascii="Tahoma" w:hAnsi="Tahoma" w:cs="Tahoma"/>
          <w:sz w:val="22"/>
          <w:szCs w:val="22"/>
        </w:rPr>
        <w:t>Правила устройства и безопасной эксплуатации грузоподъемных кранов. ПБ 10-382-00)</w:t>
      </w:r>
      <w:r>
        <w:rPr>
          <w:rFonts w:ascii="Tahoma" w:hAnsi="Tahoma" w:cs="Tahoma"/>
          <w:sz w:val="22"/>
          <w:szCs w:val="22"/>
        </w:rPr>
        <w:t>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5. Подъем груза из кузова автомобиля или опускание его в кузов при нахождении там или в кабине автомобиля человека.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9.5.18. Правила устройства и безопасной эксплуатации грузоподъемных кранов. ПБ 10-382-00)</w:t>
      </w:r>
      <w:r>
        <w:rPr>
          <w:rFonts w:ascii="Tahoma" w:hAnsi="Tahoma" w:cs="Tahoma"/>
          <w:sz w:val="22"/>
          <w:szCs w:val="22"/>
        </w:rPr>
        <w:t>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 xml:space="preserve">6. Отсутствие или неисправность приборов и устройств безопасности: ограничители рабочих движений, ограничители механизма подъема груза, грузоподъемности, </w:t>
      </w:r>
      <w:r w:rsidR="004C1395">
        <w:rPr>
          <w:rFonts w:ascii="Tahoma" w:hAnsi="Tahoma" w:cs="Tahoma"/>
          <w:sz w:val="22"/>
          <w:szCs w:val="22"/>
        </w:rPr>
        <w:t xml:space="preserve">звукового сигнала, анемометра и </w:t>
      </w:r>
      <w:r w:rsidRPr="00162476">
        <w:rPr>
          <w:rFonts w:ascii="Tahoma" w:hAnsi="Tahoma" w:cs="Tahoma"/>
          <w:sz w:val="22"/>
          <w:szCs w:val="22"/>
        </w:rPr>
        <w:t>т.д.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2.12.2 - 2.12.29. Правила устройства и безопасной экспл</w:t>
      </w:r>
      <w:r>
        <w:rPr>
          <w:rFonts w:ascii="Tahoma" w:hAnsi="Tahoma" w:cs="Tahoma"/>
          <w:sz w:val="22"/>
          <w:szCs w:val="22"/>
        </w:rPr>
        <w:t xml:space="preserve">уатации грузоподъемных кранов. </w:t>
      </w:r>
      <w:r w:rsidRPr="00162476">
        <w:rPr>
          <w:rFonts w:ascii="Tahoma" w:hAnsi="Tahoma" w:cs="Tahoma"/>
          <w:sz w:val="22"/>
          <w:szCs w:val="22"/>
        </w:rPr>
        <w:t>ПБ 10-382-00).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7. Эксплуатация крана или осуществление зацепки грузов не обученным и не аттестованным персоналом (крановщики, стропальщики), или стропальщиками без отличительных знаков. (Нарушение п.</w:t>
      </w:r>
      <w:r>
        <w:rPr>
          <w:rFonts w:ascii="Tahoma" w:hAnsi="Tahoma" w:cs="Tahoma"/>
          <w:sz w:val="22"/>
          <w:szCs w:val="22"/>
        </w:rPr>
        <w:t xml:space="preserve"> </w:t>
      </w:r>
      <w:r w:rsidRPr="00162476">
        <w:rPr>
          <w:rFonts w:ascii="Tahoma" w:hAnsi="Tahoma" w:cs="Tahoma"/>
          <w:sz w:val="22"/>
          <w:szCs w:val="22"/>
        </w:rPr>
        <w:t>9.4.8, 12.9.4, 9.4.16. Правила устройства и безопасной эксплуатации грузоподъемных кранов. ПБ 10-382-00).</w:t>
      </w:r>
    </w:p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b/>
          <w:sz w:val="22"/>
          <w:szCs w:val="22"/>
        </w:rPr>
      </w:pPr>
      <w:r w:rsidRPr="003D5312">
        <w:rPr>
          <w:rFonts w:ascii="Tahoma" w:hAnsi="Tahoma" w:cs="Tahoma"/>
          <w:b/>
          <w:sz w:val="22"/>
          <w:szCs w:val="22"/>
          <w:highlight w:val="lightGray"/>
        </w:rPr>
        <w:t>Примерный перечень может быть изменен/дополнен в соответствии с направлениями деятельности организации, выполняющей работы</w:t>
      </w:r>
      <w:r w:rsidR="003D5312">
        <w:rPr>
          <w:rFonts w:ascii="Tahoma" w:hAnsi="Tahoma" w:cs="Tahoma"/>
          <w:b/>
          <w:sz w:val="22"/>
          <w:szCs w:val="22"/>
          <w:highlight w:val="lightGray"/>
        </w:rPr>
        <w:t>,</w:t>
      </w:r>
      <w:r w:rsidRPr="003D5312">
        <w:rPr>
          <w:rFonts w:ascii="Tahoma" w:hAnsi="Tahoma" w:cs="Tahoma"/>
          <w:b/>
          <w:sz w:val="22"/>
          <w:szCs w:val="22"/>
          <w:highlight w:val="lightGray"/>
        </w:rPr>
        <w:t xml:space="preserve"> и нормативно-правовой базы, определяющей безопасность производства работ.</w:t>
      </w:r>
    </w:p>
    <w:p w:rsidR="00217BDC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r w:rsidRPr="00162476">
        <w:rPr>
          <w:rFonts w:ascii="Tahoma" w:hAnsi="Tahoma" w:cs="Tahoma"/>
          <w:sz w:val="22"/>
          <w:szCs w:val="22"/>
        </w:rPr>
        <w:t>Также приостановка работ (в том числе и изъятие наряда допуска) может производиться и в других случаях, представляющих угрозу для жизни и здоровья работников предприятия, подрядных, субподрядных организаций.</w:t>
      </w:r>
    </w:p>
    <w:p w:rsidR="00217BDC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5"/>
        <w:gridCol w:w="425"/>
        <w:gridCol w:w="4703"/>
      </w:tblGrid>
      <w:tr w:rsidR="0047010E" w:rsidRPr="002516FA" w:rsidTr="006F046B">
        <w:trPr>
          <w:cantSplit/>
        </w:trPr>
        <w:tc>
          <w:tcPr>
            <w:tcW w:w="2355" w:type="pct"/>
            <w:noWrap/>
            <w:vAlign w:val="center"/>
            <w:hideMark/>
          </w:tcPr>
          <w:p w:rsidR="0047010E" w:rsidRPr="002516FA" w:rsidRDefault="0047010E" w:rsidP="0047010E">
            <w:pPr>
              <w:rPr>
                <w:rFonts w:ascii="Tahoma" w:hAnsi="Tahoma" w:cs="Tahoma"/>
                <w:sz w:val="22"/>
                <w:szCs w:val="22"/>
              </w:rPr>
            </w:pPr>
            <w:r w:rsidRPr="002516FA">
              <w:rPr>
                <w:rFonts w:ascii="Tahoma" w:hAnsi="Tahoma" w:cs="Tahoma"/>
                <w:sz w:val="22"/>
                <w:szCs w:val="22"/>
              </w:rPr>
              <w:t xml:space="preserve">От </w:t>
            </w:r>
            <w:r w:rsidRPr="002516FA">
              <w:rPr>
                <w:rFonts w:ascii="Tahoma" w:hAnsi="Tahoma" w:cs="Tahoma"/>
                <w:b/>
                <w:bCs/>
                <w:sz w:val="22"/>
                <w:szCs w:val="22"/>
              </w:rPr>
              <w:t>ЗАКАЗЧИКА</w:t>
            </w:r>
          </w:p>
        </w:tc>
        <w:tc>
          <w:tcPr>
            <w:tcW w:w="219" w:type="pct"/>
            <w:noWrap/>
            <w:vAlign w:val="center"/>
            <w:hideMark/>
          </w:tcPr>
          <w:p w:rsidR="0047010E" w:rsidRPr="002516FA" w:rsidRDefault="0047010E" w:rsidP="0047010E">
            <w:pPr>
              <w:rPr>
                <w:sz w:val="22"/>
                <w:szCs w:val="22"/>
              </w:rPr>
            </w:pPr>
          </w:p>
        </w:tc>
        <w:tc>
          <w:tcPr>
            <w:tcW w:w="2426" w:type="pct"/>
            <w:noWrap/>
            <w:vAlign w:val="center"/>
            <w:hideMark/>
          </w:tcPr>
          <w:p w:rsidR="0047010E" w:rsidRPr="002516FA" w:rsidRDefault="0047010E" w:rsidP="0047010E">
            <w:pPr>
              <w:rPr>
                <w:rFonts w:ascii="Tahoma" w:hAnsi="Tahoma" w:cs="Tahoma"/>
                <w:sz w:val="22"/>
                <w:szCs w:val="22"/>
              </w:rPr>
            </w:pPr>
            <w:r w:rsidRPr="002516FA">
              <w:rPr>
                <w:rFonts w:ascii="Tahoma" w:hAnsi="Tahoma" w:cs="Tahoma"/>
                <w:sz w:val="22"/>
                <w:szCs w:val="22"/>
              </w:rPr>
              <w:t>От</w:t>
            </w:r>
            <w:r w:rsidRPr="002516F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ПОДРЯДЧИКА</w:t>
            </w:r>
          </w:p>
        </w:tc>
      </w:tr>
      <w:tr w:rsidR="00564E41" w:rsidRPr="002516FA" w:rsidTr="006F046B">
        <w:trPr>
          <w:cantSplit/>
        </w:trPr>
        <w:tc>
          <w:tcPr>
            <w:tcW w:w="2355" w:type="pct"/>
            <w:noWrap/>
            <w:vAlign w:val="center"/>
            <w:hideMark/>
          </w:tcPr>
          <w:p w:rsidR="00564E41" w:rsidRDefault="00564E41" w:rsidP="00564E4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564E41" w:rsidRPr="0023021B" w:rsidRDefault="00274DFC" w:rsidP="00564E41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«ЗН </w:t>
            </w:r>
            <w:r w:rsidR="00564E41">
              <w:rPr>
                <w:rFonts w:ascii="Tahoma" w:hAnsi="Tahoma" w:cs="Tahoma"/>
                <w:color w:val="000000"/>
                <w:sz w:val="22"/>
                <w:szCs w:val="22"/>
              </w:rPr>
              <w:t>Север»</w:t>
            </w:r>
          </w:p>
        </w:tc>
        <w:tc>
          <w:tcPr>
            <w:tcW w:w="219" w:type="pct"/>
            <w:noWrap/>
            <w:vAlign w:val="center"/>
            <w:hideMark/>
          </w:tcPr>
          <w:p w:rsidR="00564E41" w:rsidRPr="0023021B" w:rsidRDefault="00564E41" w:rsidP="00564E41">
            <w:pPr>
              <w:rPr>
                <w:color w:val="000000"/>
              </w:rPr>
            </w:pPr>
          </w:p>
        </w:tc>
        <w:tc>
          <w:tcPr>
            <w:tcW w:w="2426" w:type="pct"/>
            <w:noWrap/>
            <w:vAlign w:val="center"/>
            <w:hideMark/>
          </w:tcPr>
          <w:p w:rsidR="00564E41" w:rsidRDefault="00564E41" w:rsidP="00564E4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Генеральный директор</w:t>
            </w:r>
          </w:p>
          <w:p w:rsidR="00564E41" w:rsidRPr="0023021B" w:rsidRDefault="00B26794" w:rsidP="00B26794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ООО «             </w:t>
            </w:r>
            <w:r w:rsidR="00564E41">
              <w:rPr>
                <w:rFonts w:ascii="Tahoma" w:hAnsi="Tahoma" w:cs="Tahoma"/>
                <w:color w:val="000000"/>
                <w:sz w:val="22"/>
                <w:szCs w:val="22"/>
              </w:rPr>
              <w:t>»</w:t>
            </w:r>
          </w:p>
        </w:tc>
      </w:tr>
      <w:tr w:rsidR="00564E41" w:rsidRPr="002516FA" w:rsidTr="006F046B">
        <w:trPr>
          <w:cantSplit/>
        </w:trPr>
        <w:tc>
          <w:tcPr>
            <w:tcW w:w="2355" w:type="pct"/>
            <w:noWrap/>
            <w:vAlign w:val="center"/>
          </w:tcPr>
          <w:p w:rsidR="00564E41" w:rsidRPr="0023021B" w:rsidRDefault="00564E41" w:rsidP="00564E41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" w:type="pct"/>
            <w:noWrap/>
            <w:vAlign w:val="center"/>
          </w:tcPr>
          <w:p w:rsidR="00564E41" w:rsidRPr="0023021B" w:rsidRDefault="00564E41" w:rsidP="00564E41">
            <w:pPr>
              <w:rPr>
                <w:color w:val="000000"/>
              </w:rPr>
            </w:pPr>
          </w:p>
        </w:tc>
        <w:tc>
          <w:tcPr>
            <w:tcW w:w="2426" w:type="pct"/>
            <w:noWrap/>
            <w:vAlign w:val="center"/>
          </w:tcPr>
          <w:p w:rsidR="00564E41" w:rsidRPr="0023021B" w:rsidRDefault="00564E41" w:rsidP="00564E41">
            <w:pPr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  <w:tr w:rsidR="00564E41" w:rsidRPr="002516FA" w:rsidTr="006F046B">
        <w:trPr>
          <w:cantSplit/>
        </w:trPr>
        <w:tc>
          <w:tcPr>
            <w:tcW w:w="2355" w:type="pct"/>
            <w:noWrap/>
            <w:vAlign w:val="center"/>
            <w:hideMark/>
          </w:tcPr>
          <w:p w:rsidR="00564E41" w:rsidRPr="0023021B" w:rsidRDefault="00564E41" w:rsidP="00564E41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19" w:type="pct"/>
            <w:noWrap/>
            <w:vAlign w:val="center"/>
            <w:hideMark/>
          </w:tcPr>
          <w:p w:rsidR="00564E41" w:rsidRPr="0023021B" w:rsidRDefault="00564E41" w:rsidP="00564E41">
            <w:pPr>
              <w:jc w:val="center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2426" w:type="pct"/>
            <w:noWrap/>
            <w:vAlign w:val="center"/>
            <w:hideMark/>
          </w:tcPr>
          <w:p w:rsidR="00564E41" w:rsidRPr="0023021B" w:rsidRDefault="00564E41" w:rsidP="00564E41">
            <w:pPr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</w:tr>
      <w:tr w:rsidR="00564E41" w:rsidRPr="002516FA" w:rsidTr="0061256E">
        <w:trPr>
          <w:cantSplit/>
        </w:trPr>
        <w:tc>
          <w:tcPr>
            <w:tcW w:w="2355" w:type="pct"/>
            <w:noWrap/>
            <w:vAlign w:val="center"/>
            <w:hideMark/>
          </w:tcPr>
          <w:p w:rsidR="00564E41" w:rsidRPr="0023021B" w:rsidRDefault="00564E41" w:rsidP="00564E41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Д.В. Шатров </w:t>
            </w:r>
          </w:p>
        </w:tc>
        <w:tc>
          <w:tcPr>
            <w:tcW w:w="219" w:type="pct"/>
            <w:noWrap/>
            <w:vAlign w:val="center"/>
            <w:hideMark/>
          </w:tcPr>
          <w:p w:rsidR="00564E41" w:rsidRPr="0023021B" w:rsidRDefault="00564E41" w:rsidP="00564E41">
            <w:pPr>
              <w:rPr>
                <w:color w:val="000000"/>
              </w:rPr>
            </w:pPr>
          </w:p>
        </w:tc>
        <w:tc>
          <w:tcPr>
            <w:tcW w:w="2426" w:type="pct"/>
            <w:noWrap/>
            <w:vAlign w:val="center"/>
            <w:hideMark/>
          </w:tcPr>
          <w:p w:rsidR="00564E41" w:rsidRPr="0023021B" w:rsidRDefault="00564E41" w:rsidP="00B26794">
            <w:pPr>
              <w:rPr>
                <w:rFonts w:ascii="Tahoma" w:hAnsi="Tahoma" w:cs="Tahoma"/>
                <w:color w:val="000000"/>
              </w:rPr>
            </w:pPr>
            <w:r w:rsidRPr="0023021B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_______________ </w:t>
            </w:r>
          </w:p>
        </w:tc>
      </w:tr>
    </w:tbl>
    <w:p w:rsidR="00217BDC" w:rsidRPr="00162476" w:rsidRDefault="00217BDC" w:rsidP="00217BDC">
      <w:pPr>
        <w:spacing w:before="0" w:line="360" w:lineRule="auto"/>
        <w:ind w:firstLine="709"/>
        <w:rPr>
          <w:rFonts w:ascii="Tahoma" w:hAnsi="Tahoma" w:cs="Tahoma"/>
          <w:sz w:val="22"/>
          <w:szCs w:val="22"/>
        </w:rPr>
      </w:pPr>
      <w:bookmarkStart w:id="2" w:name="_GoBack"/>
      <w:bookmarkEnd w:id="2"/>
    </w:p>
    <w:sectPr w:rsidR="00217BDC" w:rsidRPr="00162476" w:rsidSect="0047010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866" w:rsidRDefault="00363866" w:rsidP="0047010E">
      <w:pPr>
        <w:spacing w:before="0"/>
      </w:pPr>
      <w:r>
        <w:separator/>
      </w:r>
    </w:p>
  </w:endnote>
  <w:endnote w:type="continuationSeparator" w:id="0">
    <w:p w:rsidR="00363866" w:rsidRDefault="00363866" w:rsidP="0047010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866" w:rsidRDefault="00363866" w:rsidP="0047010E">
      <w:pPr>
        <w:spacing w:before="0"/>
      </w:pPr>
      <w:r>
        <w:separator/>
      </w:r>
    </w:p>
  </w:footnote>
  <w:footnote w:type="continuationSeparator" w:id="0">
    <w:p w:rsidR="00363866" w:rsidRDefault="00363866" w:rsidP="0047010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1213897"/>
      <w:docPartObj>
        <w:docPartGallery w:val="Page Numbers (Top of Page)"/>
        <w:docPartUnique/>
      </w:docPartObj>
    </w:sdtPr>
    <w:sdtEndPr>
      <w:rPr>
        <w:rFonts w:ascii="Tahoma" w:hAnsi="Tahoma" w:cs="Tahoma"/>
        <w:sz w:val="20"/>
      </w:rPr>
    </w:sdtEndPr>
    <w:sdtContent>
      <w:p w:rsidR="0047010E" w:rsidRPr="0047010E" w:rsidRDefault="0047010E">
        <w:pPr>
          <w:pStyle w:val="a5"/>
          <w:jc w:val="center"/>
          <w:rPr>
            <w:rFonts w:ascii="Tahoma" w:hAnsi="Tahoma" w:cs="Tahoma"/>
            <w:sz w:val="20"/>
          </w:rPr>
        </w:pPr>
        <w:r w:rsidRPr="0047010E">
          <w:rPr>
            <w:rFonts w:ascii="Tahoma" w:hAnsi="Tahoma" w:cs="Tahoma"/>
            <w:sz w:val="20"/>
          </w:rPr>
          <w:fldChar w:fldCharType="begin"/>
        </w:r>
        <w:r w:rsidRPr="0047010E">
          <w:rPr>
            <w:rFonts w:ascii="Tahoma" w:hAnsi="Tahoma" w:cs="Tahoma"/>
            <w:sz w:val="20"/>
          </w:rPr>
          <w:instrText>PAGE   \* MERGEFORMAT</w:instrText>
        </w:r>
        <w:r w:rsidRPr="0047010E">
          <w:rPr>
            <w:rFonts w:ascii="Tahoma" w:hAnsi="Tahoma" w:cs="Tahoma"/>
            <w:sz w:val="20"/>
          </w:rPr>
          <w:fldChar w:fldCharType="separate"/>
        </w:r>
        <w:r w:rsidR="00B26794">
          <w:rPr>
            <w:rFonts w:ascii="Tahoma" w:hAnsi="Tahoma" w:cs="Tahoma"/>
            <w:noProof/>
            <w:sz w:val="20"/>
          </w:rPr>
          <w:t>5</w:t>
        </w:r>
        <w:r w:rsidRPr="0047010E">
          <w:rPr>
            <w:rFonts w:ascii="Tahoma" w:hAnsi="Tahoma" w:cs="Tahoma"/>
            <w:sz w:val="20"/>
          </w:rPr>
          <w:fldChar w:fldCharType="end"/>
        </w:r>
      </w:p>
    </w:sdtContent>
  </w:sdt>
  <w:p w:rsidR="0047010E" w:rsidRDefault="004701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54EF5"/>
    <w:multiLevelType w:val="hybridMultilevel"/>
    <w:tmpl w:val="A2901C74"/>
    <w:lvl w:ilvl="0" w:tplc="034CE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CD00D86"/>
    <w:multiLevelType w:val="hybridMultilevel"/>
    <w:tmpl w:val="20525BC0"/>
    <w:lvl w:ilvl="0" w:tplc="034CE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7C44CEF"/>
    <w:multiLevelType w:val="multilevel"/>
    <w:tmpl w:val="252092E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DC"/>
    <w:rsid w:val="001732BB"/>
    <w:rsid w:val="00217BDC"/>
    <w:rsid w:val="002516FA"/>
    <w:rsid w:val="00274DFC"/>
    <w:rsid w:val="002A6024"/>
    <w:rsid w:val="00363866"/>
    <w:rsid w:val="003927D7"/>
    <w:rsid w:val="003D5312"/>
    <w:rsid w:val="003F38AD"/>
    <w:rsid w:val="0047010E"/>
    <w:rsid w:val="004C1395"/>
    <w:rsid w:val="00520371"/>
    <w:rsid w:val="0053461A"/>
    <w:rsid w:val="0054190D"/>
    <w:rsid w:val="00564E41"/>
    <w:rsid w:val="0058487D"/>
    <w:rsid w:val="008773E3"/>
    <w:rsid w:val="008E43F8"/>
    <w:rsid w:val="008F31A7"/>
    <w:rsid w:val="008F470B"/>
    <w:rsid w:val="009951ED"/>
    <w:rsid w:val="00B26794"/>
    <w:rsid w:val="00B51365"/>
    <w:rsid w:val="00BD3ED0"/>
    <w:rsid w:val="00C93157"/>
    <w:rsid w:val="00C940C1"/>
    <w:rsid w:val="00D20440"/>
    <w:rsid w:val="00E0435C"/>
    <w:rsid w:val="00E56BDC"/>
    <w:rsid w:val="00E65F27"/>
    <w:rsid w:val="00F2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93A08C-6792-41D0-8EDE-68DD33C2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BDC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h1,Heading 1 Char,Chapter Heading,Head 1wsa,RSKH1"/>
    <w:basedOn w:val="a"/>
    <w:next w:val="a"/>
    <w:link w:val="10"/>
    <w:qFormat/>
    <w:rsid w:val="00217BDC"/>
    <w:pPr>
      <w:keepNext/>
      <w:numPr>
        <w:numId w:val="1"/>
      </w:numPr>
      <w:spacing w:before="360"/>
      <w:outlineLvl w:val="0"/>
    </w:pPr>
    <w:rPr>
      <w:b/>
      <w:sz w:val="28"/>
    </w:rPr>
  </w:style>
  <w:style w:type="paragraph" w:styleId="2">
    <w:name w:val="heading 2"/>
    <w:aliases w:val="HD2,H2,h2,OG Heading 2,Chapter Title,- 1.1,hseHeading 2,Sub-Title,Major Heading,L2,ËÑÇ¢éÍ 2,RSKH2,top heading 2,ËÑÇ¢ˆmÍ 2,Se"/>
    <w:basedOn w:val="a"/>
    <w:next w:val="a"/>
    <w:link w:val="20"/>
    <w:qFormat/>
    <w:rsid w:val="00217BDC"/>
    <w:pPr>
      <w:keepNext/>
      <w:numPr>
        <w:ilvl w:val="1"/>
        <w:numId w:val="1"/>
      </w:numPr>
      <w:spacing w:before="240"/>
      <w:outlineLvl w:val="1"/>
    </w:pPr>
    <w:rPr>
      <w:b/>
      <w:lang w:val="x-none" w:eastAsia="x-none"/>
    </w:rPr>
  </w:style>
  <w:style w:type="paragraph" w:styleId="3">
    <w:name w:val="heading 3"/>
    <w:aliases w:val="Subhead C,Sub-heading,L3,ËÑÇ¢éÍ 3,hseHeading 3,ËÑÇ¢ˆmÍ 3,Re"/>
    <w:basedOn w:val="a"/>
    <w:next w:val="a"/>
    <w:link w:val="30"/>
    <w:qFormat/>
    <w:rsid w:val="00217BDC"/>
    <w:pPr>
      <w:keepNext/>
      <w:numPr>
        <w:ilvl w:val="2"/>
        <w:numId w:val="1"/>
      </w:numPr>
      <w:jc w:val="left"/>
      <w:outlineLvl w:val="2"/>
    </w:pPr>
    <w:rPr>
      <w:b/>
    </w:rPr>
  </w:style>
  <w:style w:type="paragraph" w:styleId="4">
    <w:name w:val="heading 4"/>
    <w:aliases w:val="h4,Map Title,Map Title1,Map Title2,Map Title3,Map Title4,Minor Heading,L4,Gliederung4,hseHeading 4"/>
    <w:basedOn w:val="a"/>
    <w:next w:val="a"/>
    <w:link w:val="40"/>
    <w:qFormat/>
    <w:rsid w:val="00217BDC"/>
    <w:pPr>
      <w:keepNext/>
      <w:numPr>
        <w:ilvl w:val="3"/>
        <w:numId w:val="1"/>
      </w:numPr>
      <w:spacing w:line="360" w:lineRule="auto"/>
      <w:outlineLvl w:val="3"/>
    </w:pPr>
    <w:rPr>
      <w:i/>
    </w:rPr>
  </w:style>
  <w:style w:type="paragraph" w:styleId="5">
    <w:name w:val="heading 5"/>
    <w:basedOn w:val="a"/>
    <w:next w:val="a"/>
    <w:link w:val="50"/>
    <w:qFormat/>
    <w:rsid w:val="00217BDC"/>
    <w:pPr>
      <w:keepNext/>
      <w:widowControl w:val="0"/>
      <w:numPr>
        <w:ilvl w:val="4"/>
        <w:numId w:val="1"/>
      </w:numPr>
      <w:jc w:val="right"/>
      <w:outlineLvl w:val="4"/>
    </w:pPr>
    <w:rPr>
      <w:rFonts w:ascii="Arial" w:hAnsi="Arial"/>
      <w:i/>
      <w:snapToGrid w:val="0"/>
    </w:rPr>
  </w:style>
  <w:style w:type="paragraph" w:styleId="6">
    <w:name w:val="heading 6"/>
    <w:aliases w:val="Points in Text"/>
    <w:basedOn w:val="a"/>
    <w:next w:val="a"/>
    <w:link w:val="60"/>
    <w:qFormat/>
    <w:rsid w:val="00217BDC"/>
    <w:pPr>
      <w:keepNext/>
      <w:numPr>
        <w:ilvl w:val="5"/>
        <w:numId w:val="1"/>
      </w:numPr>
      <w:jc w:val="center"/>
      <w:outlineLvl w:val="5"/>
    </w:pPr>
    <w:rPr>
      <w:rFonts w:ascii="Arial" w:hAnsi="Arial"/>
      <w:b/>
      <w:sz w:val="28"/>
    </w:rPr>
  </w:style>
  <w:style w:type="paragraph" w:styleId="7">
    <w:name w:val="heading 7"/>
    <w:aliases w:val="a1"/>
    <w:basedOn w:val="a"/>
    <w:next w:val="a"/>
    <w:link w:val="70"/>
    <w:qFormat/>
    <w:rsid w:val="00217BDC"/>
    <w:pPr>
      <w:keepNext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217BDC"/>
    <w:pPr>
      <w:keepNext/>
      <w:numPr>
        <w:ilvl w:val="7"/>
        <w:numId w:val="1"/>
      </w:numPr>
      <w:jc w:val="center"/>
      <w:outlineLvl w:val="7"/>
    </w:pPr>
    <w:rPr>
      <w:sz w:val="36"/>
    </w:rPr>
  </w:style>
  <w:style w:type="paragraph" w:styleId="9">
    <w:name w:val="heading 9"/>
    <w:aliases w:val="Appendix Level 3"/>
    <w:basedOn w:val="a"/>
    <w:next w:val="a"/>
    <w:link w:val="90"/>
    <w:qFormat/>
    <w:rsid w:val="00217BDC"/>
    <w:pPr>
      <w:keepNext/>
      <w:numPr>
        <w:ilvl w:val="8"/>
        <w:numId w:val="1"/>
      </w:numPr>
      <w:jc w:val="center"/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Heading 1 Char Знак,Chapter Heading Знак,Head 1wsa Знак,RSKH1 Знак"/>
    <w:basedOn w:val="a0"/>
    <w:link w:val="1"/>
    <w:rsid w:val="00217B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HD2 Знак,H2 Знак,h2 Знак,OG Heading 2 Знак,Chapter Title Знак,- 1.1 Знак,hseHeading 2 Знак,Sub-Title Знак,Major Heading Знак,L2 Знак,ËÑÇ¢éÍ 2 Знак,RSKH2 Знак,top heading 2 Знак,ËÑÇ¢ˆmÍ 2 Знак,Se Знак"/>
    <w:basedOn w:val="a0"/>
    <w:link w:val="2"/>
    <w:rsid w:val="00217BD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aliases w:val="Subhead C Знак,Sub-heading Знак,L3 Знак,ËÑÇ¢éÍ 3 Знак,hseHeading 3 Знак,ËÑÇ¢ˆmÍ 3 Знак,Re Знак"/>
    <w:basedOn w:val="a0"/>
    <w:link w:val="3"/>
    <w:rsid w:val="00217B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,Map Title Знак,Map Title1 Знак,Map Title2 Знак,Map Title3 Знак,Map Title4 Знак,Minor Heading Знак,L4 Знак,Gliederung4 Знак,hseHeading 4 Знак"/>
    <w:basedOn w:val="a0"/>
    <w:link w:val="4"/>
    <w:rsid w:val="00217BD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17BDC"/>
    <w:rPr>
      <w:rFonts w:ascii="Arial" w:eastAsia="Times New Roman" w:hAnsi="Arial" w:cs="Times New Roman"/>
      <w:i/>
      <w:snapToGrid w:val="0"/>
      <w:sz w:val="24"/>
      <w:szCs w:val="20"/>
      <w:lang w:eastAsia="ru-RU"/>
    </w:rPr>
  </w:style>
  <w:style w:type="character" w:customStyle="1" w:styleId="60">
    <w:name w:val="Заголовок 6 Знак"/>
    <w:aliases w:val="Points in Text Знак"/>
    <w:basedOn w:val="a0"/>
    <w:link w:val="6"/>
    <w:rsid w:val="00217BDC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70">
    <w:name w:val="Заголовок 7 Знак"/>
    <w:aliases w:val="a1 Знак"/>
    <w:basedOn w:val="a0"/>
    <w:link w:val="7"/>
    <w:rsid w:val="00217B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17BDC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90">
    <w:name w:val="Заголовок 9 Знак"/>
    <w:aliases w:val="Appendix Level 3 Знак"/>
    <w:basedOn w:val="a0"/>
    <w:link w:val="9"/>
    <w:rsid w:val="00217BD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ConsNormal">
    <w:name w:val="ConsNormal"/>
    <w:rsid w:val="00217B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7D7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7D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7010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701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010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7010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4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Александр Павлович</dc:creator>
  <cp:lastModifiedBy>Резниченко Денис Николаевич</cp:lastModifiedBy>
  <cp:revision>8</cp:revision>
  <dcterms:created xsi:type="dcterms:W3CDTF">2017-07-14T11:56:00Z</dcterms:created>
  <dcterms:modified xsi:type="dcterms:W3CDTF">2021-12-27T09:32:00Z</dcterms:modified>
</cp:coreProperties>
</file>