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64" w:rsidRPr="001D3BAE" w:rsidRDefault="00E71C64" w:rsidP="00E71C64">
      <w:pPr>
        <w:keepNext/>
        <w:keepLines/>
        <w:pageBreakBefore/>
        <w:numPr>
          <w:ilvl w:val="0"/>
          <w:numId w:val="1"/>
        </w:numPr>
        <w:spacing w:after="240" w:line="240" w:lineRule="auto"/>
        <w:ind w:left="0" w:firstLine="0"/>
        <w:jc w:val="center"/>
        <w:outlineLvl w:val="0"/>
        <w:rPr>
          <w:rFonts w:ascii="Tahoma" w:eastAsia="Times New Roman" w:hAnsi="Tahoma" w:cs="Tahoma"/>
          <w:b/>
          <w:bCs/>
          <w:lang w:eastAsia="ru-RU"/>
        </w:rPr>
      </w:pPr>
      <w:r w:rsidRPr="001D3BAE">
        <w:rPr>
          <w:rFonts w:ascii="Tahoma" w:eastAsia="Times New Roman" w:hAnsi="Tahoma" w:cs="Tahoma"/>
          <w:b/>
          <w:bCs/>
          <w:lang w:eastAsia="ru-RU"/>
        </w:rPr>
        <w:t>П</w:t>
      </w:r>
      <w:r w:rsidRPr="00194CC5">
        <w:rPr>
          <w:rFonts w:ascii="Tahoma" w:eastAsia="Times New Roman" w:hAnsi="Tahoma" w:cs="Tahoma"/>
          <w:b/>
          <w:bCs/>
          <w:lang w:eastAsia="ru-RU"/>
        </w:rPr>
        <w:t>РИЛОЖ</w:t>
      </w:r>
      <w:r w:rsidRPr="001D3BAE">
        <w:rPr>
          <w:rFonts w:ascii="Tahoma" w:eastAsia="Times New Roman" w:hAnsi="Tahoma" w:cs="Tahoma"/>
          <w:b/>
          <w:bCs/>
          <w:lang w:eastAsia="ru-RU"/>
        </w:rPr>
        <w:t>ЕНИЕ № 2 К ДОКУМЕНТАЦИИ О ЗАКУПКЕ. ТРЕБОВАНИЯ К УЧАСТНИКАМ ЗАКУПКИ ПО ОТ, ПБ И ООС</w:t>
      </w:r>
    </w:p>
    <w:p w:rsidR="00E71C64" w:rsidRPr="001D3BAE" w:rsidRDefault="00E71C64" w:rsidP="00E71C64">
      <w:pPr>
        <w:spacing w:after="0" w:line="240" w:lineRule="auto"/>
        <w:jc w:val="center"/>
        <w:rPr>
          <w:rFonts w:ascii="Tahoma" w:eastAsia="Calibri" w:hAnsi="Tahoma" w:cs="Tahoma"/>
          <w:b/>
        </w:rPr>
      </w:pPr>
      <w:bookmarkStart w:id="0" w:name="_GoBack"/>
      <w:bookmarkEnd w:id="0"/>
      <w:r w:rsidRPr="001D3BAE">
        <w:rPr>
          <w:rFonts w:ascii="Tahoma" w:eastAsia="Calibri" w:hAnsi="Tahoma" w:cs="Tahoma"/>
          <w:b/>
        </w:rPr>
        <w:t>Приложение № 2. «Требования к участникам закупки по ОТ, ПБ и ООС»</w:t>
      </w:r>
    </w:p>
    <w:p w:rsidR="00E71C64" w:rsidRPr="001F7952" w:rsidRDefault="00E71C64" w:rsidP="00E71C64">
      <w:pPr>
        <w:spacing w:after="0" w:line="240" w:lineRule="auto"/>
        <w:jc w:val="both"/>
        <w:rPr>
          <w:rFonts w:ascii="Tahoma" w:eastAsia="Calibri" w:hAnsi="Tahoma" w:cs="Tahoma"/>
          <w:sz w:val="16"/>
          <w:szCs w:val="16"/>
        </w:rPr>
      </w:pPr>
    </w:p>
    <w:tbl>
      <w:tblPr>
        <w:tblW w:w="497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00"/>
        <w:gridCol w:w="1966"/>
        <w:gridCol w:w="11810"/>
      </w:tblGrid>
      <w:tr w:rsidR="00E71C64" w:rsidRPr="001D3BAE" w:rsidTr="00002C06">
        <w:tc>
          <w:tcPr>
            <w:tcW w:w="5000" w:type="pct"/>
            <w:gridSpan w:val="3"/>
            <w:vAlign w:val="center"/>
          </w:tcPr>
          <w:p w:rsidR="00E71C64" w:rsidRPr="001D3BAE" w:rsidRDefault="00E71C64" w:rsidP="00002C06">
            <w:pPr>
              <w:spacing w:before="20" w:after="20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1D3BAE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ru-RU"/>
              </w:rPr>
              <w:t>Раздел № 3. Требования к участникам закупки</w:t>
            </w:r>
          </w:p>
        </w:tc>
      </w:tr>
      <w:tr w:rsidR="00E71C64" w:rsidRPr="00E9274C" w:rsidTr="00002C06">
        <w:tc>
          <w:tcPr>
            <w:tcW w:w="242" w:type="pct"/>
          </w:tcPr>
          <w:p w:rsidR="00E71C64" w:rsidRPr="00B935C2" w:rsidRDefault="00E71C64" w:rsidP="00002C06">
            <w:pPr>
              <w:spacing w:before="20" w:after="2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3.1.</w:t>
            </w:r>
          </w:p>
        </w:tc>
        <w:tc>
          <w:tcPr>
            <w:tcW w:w="679" w:type="pct"/>
          </w:tcPr>
          <w:p w:rsidR="00E71C64" w:rsidRPr="00B935C2" w:rsidRDefault="00E71C64" w:rsidP="00002C06">
            <w:pPr>
              <w:spacing w:before="20" w:after="2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935C2">
              <w:rPr>
                <w:rFonts w:ascii="Tahoma" w:eastAsia="Calibri" w:hAnsi="Tahoma" w:cs="Tahoma"/>
                <w:sz w:val="18"/>
                <w:szCs w:val="18"/>
                <w:u w:val="single"/>
              </w:rPr>
              <w:t>Дополнительный (специальный) перечень документов,</w:t>
            </w:r>
            <w:r w:rsidRPr="00B935C2">
              <w:rPr>
                <w:rFonts w:ascii="Tahoma" w:eastAsia="Calibri" w:hAnsi="Tahoma" w:cs="Tahoma"/>
                <w:sz w:val="18"/>
                <w:szCs w:val="18"/>
              </w:rPr>
              <w:t xml:space="preserve"> представляемых участниками закупки для подтверждения их соответствия дополнительным (специальным) требованиям к участникам закупки</w:t>
            </w:r>
          </w:p>
        </w:tc>
        <w:tc>
          <w:tcPr>
            <w:tcW w:w="4079" w:type="pct"/>
            <w:tcBorders>
              <w:top w:val="single" w:sz="4" w:space="0" w:color="auto"/>
              <w:bottom w:val="single" w:sz="4" w:space="0" w:color="auto"/>
            </w:tcBorders>
          </w:tcPr>
          <w:p w:rsidR="00E71C64" w:rsidRPr="00B935C2" w:rsidRDefault="00E71C64" w:rsidP="00002C06">
            <w:pPr>
              <w:keepLines/>
              <w:spacing w:before="20" w:after="2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B935C2">
              <w:rPr>
                <w:rFonts w:ascii="Tahoma" w:eastAsia="Calibri" w:hAnsi="Tahoma" w:cs="Tahoma"/>
                <w:sz w:val="18"/>
                <w:szCs w:val="18"/>
              </w:rPr>
              <w:t>1. Опросный лист для оценки соответствия подрядчика/исполнителя/поставщика требованиям по ОТ, ПБ и ООС.</w:t>
            </w:r>
          </w:p>
          <w:p w:rsidR="00E71C64" w:rsidRPr="00B935C2" w:rsidRDefault="00E71C64" w:rsidP="00002C06">
            <w:pPr>
              <w:keepLines/>
              <w:tabs>
                <w:tab w:val="left" w:pos="318"/>
              </w:tabs>
              <w:spacing w:before="20" w:after="2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B935C2">
              <w:rPr>
                <w:rFonts w:ascii="Tahoma" w:eastAsia="Calibri" w:hAnsi="Tahoma" w:cs="Tahoma"/>
                <w:sz w:val="18"/>
                <w:szCs w:val="18"/>
              </w:rPr>
              <w:t>2. Подтверждающие документы, перечисленные в Опросном листе.</w:t>
            </w:r>
          </w:p>
          <w:p w:rsidR="00E71C64" w:rsidRPr="002874A0" w:rsidRDefault="00E71C64" w:rsidP="00002C06">
            <w:pPr>
              <w:keepLines/>
              <w:spacing w:before="20" w:after="2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874A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Требования</w:t>
            </w:r>
          </w:p>
          <w:p w:rsidR="00E71C64" w:rsidRPr="002874A0" w:rsidRDefault="00E71C64" w:rsidP="00002C06">
            <w:pPr>
              <w:keepLines/>
              <w:spacing w:before="20" w:after="2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874A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к порядку предоставления документов для подтверждения соответствия</w:t>
            </w:r>
          </w:p>
          <w:p w:rsidR="00E71C64" w:rsidRPr="002874A0" w:rsidRDefault="00E71C64" w:rsidP="00002C06">
            <w:pPr>
              <w:keepLines/>
              <w:spacing w:before="20" w:after="2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874A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требованиям к участникам закупки по ОТ, ПБ и ООС</w:t>
            </w:r>
          </w:p>
          <w:p w:rsidR="00E71C64" w:rsidRPr="002874A0" w:rsidRDefault="00E71C64" w:rsidP="00E71C64">
            <w:pPr>
              <w:keepLines/>
              <w:numPr>
                <w:ilvl w:val="0"/>
                <w:numId w:val="43"/>
              </w:numPr>
              <w:spacing w:before="20" w:after="20" w:line="240" w:lineRule="auto"/>
              <w:ind w:left="284" w:hanging="284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2874A0">
              <w:rPr>
                <w:rFonts w:ascii="Tahoma" w:eastAsia="Calibri" w:hAnsi="Tahoma" w:cs="Tahoma"/>
                <w:sz w:val="18"/>
                <w:szCs w:val="18"/>
              </w:rPr>
              <w:t>все копии документов должны быть в редакции, действующей на момент подачи заявки;</w:t>
            </w:r>
          </w:p>
          <w:p w:rsidR="00E71C64" w:rsidRPr="002874A0" w:rsidRDefault="00E71C64" w:rsidP="00E71C64">
            <w:pPr>
              <w:keepLines/>
              <w:numPr>
                <w:ilvl w:val="0"/>
                <w:numId w:val="43"/>
              </w:numPr>
              <w:spacing w:before="20" w:after="20" w:line="240" w:lineRule="auto"/>
              <w:ind w:left="284" w:hanging="284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2874A0">
              <w:rPr>
                <w:rFonts w:ascii="Tahoma" w:eastAsia="Calibri" w:hAnsi="Tahoma" w:cs="Tahoma"/>
                <w:sz w:val="18"/>
                <w:szCs w:val="18"/>
              </w:rPr>
              <w:t>в случае необходимости заказчик, организатор закупки вправе запросить оригиналы документов, а участник закупки обязан предоставить оригиналы запрашиваемых документов в разумный срок;</w:t>
            </w:r>
          </w:p>
          <w:p w:rsidR="00E71C64" w:rsidRPr="00B935C2" w:rsidRDefault="00E71C64" w:rsidP="00E71C64">
            <w:pPr>
              <w:keepLines/>
              <w:numPr>
                <w:ilvl w:val="0"/>
                <w:numId w:val="43"/>
              </w:numPr>
              <w:spacing w:before="20" w:after="20" w:line="240" w:lineRule="auto"/>
              <w:ind w:left="284" w:hanging="284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2874A0">
              <w:rPr>
                <w:rFonts w:ascii="Tahoma" w:eastAsia="Calibri" w:hAnsi="Tahoma" w:cs="Tahoma"/>
                <w:sz w:val="18"/>
                <w:szCs w:val="18"/>
              </w:rPr>
              <w:t>если в процедуре закупки со стороны одного участника закупки намерено участвовать несколько юридических и/или физических лиц, участником закупки будут привлекаться субподрядчики, документы предоставляются на каждое лицо в соответствии с изложенными требованиями</w:t>
            </w:r>
          </w:p>
        </w:tc>
      </w:tr>
      <w:tr w:rsidR="00E71C64" w:rsidRPr="001D3BAE" w:rsidTr="00002C06">
        <w:tc>
          <w:tcPr>
            <w:tcW w:w="242" w:type="pct"/>
          </w:tcPr>
          <w:p w:rsidR="00E71C64" w:rsidRPr="001D3BAE" w:rsidRDefault="00E71C64" w:rsidP="00002C06">
            <w:pPr>
              <w:spacing w:before="20" w:after="2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F6C99">
              <w:rPr>
                <w:rFonts w:ascii="Tahoma" w:eastAsia="Calibri" w:hAnsi="Tahoma" w:cs="Tahoma"/>
                <w:sz w:val="18"/>
                <w:szCs w:val="18"/>
              </w:rPr>
              <w:t>3.2.</w:t>
            </w:r>
          </w:p>
        </w:tc>
        <w:tc>
          <w:tcPr>
            <w:tcW w:w="679" w:type="pct"/>
          </w:tcPr>
          <w:p w:rsidR="00E71C64" w:rsidRPr="001D3BAE" w:rsidRDefault="00E71C64" w:rsidP="00002C06">
            <w:pPr>
              <w:spacing w:before="20" w:after="2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D3BAE">
              <w:rPr>
                <w:rFonts w:ascii="Tahoma" w:eastAsia="Calibri" w:hAnsi="Tahoma" w:cs="Tahoma"/>
                <w:sz w:val="18"/>
                <w:szCs w:val="18"/>
              </w:rPr>
              <w:t>Дополнительные (специальные) требования к участникам закупки</w:t>
            </w:r>
          </w:p>
        </w:tc>
        <w:tc>
          <w:tcPr>
            <w:tcW w:w="4079" w:type="pct"/>
          </w:tcPr>
          <w:p w:rsidR="00E71C64" w:rsidRPr="001D3BAE" w:rsidRDefault="00E71C64" w:rsidP="00002C06">
            <w:pPr>
              <w:tabs>
                <w:tab w:val="left" w:pos="993"/>
              </w:tabs>
              <w:spacing w:before="20" w:after="2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1D3BAE">
              <w:rPr>
                <w:rFonts w:ascii="Tahoma" w:eastAsia="Calibri" w:hAnsi="Tahoma" w:cs="Tahoma"/>
                <w:sz w:val="18"/>
                <w:szCs w:val="18"/>
              </w:rPr>
              <w:t>Требование соответствия потенциальных подрядчиков/исполнителей/поставщиков по вопросам ОТ, ПБ и ООС применяется в случае проведения закупок работ/услуг, которые связаны с рисками высокого и критического уровня, а именно выполнением работ на опасных производственных объектах, выполнением работ по новому строительству, реконструкции и ремонту зданий, сооружений и производственного оборудования.</w:t>
            </w:r>
          </w:p>
          <w:p w:rsidR="00E71C64" w:rsidRPr="001D3BAE" w:rsidRDefault="00E71C64" w:rsidP="00002C06">
            <w:pPr>
              <w:tabs>
                <w:tab w:val="left" w:pos="993"/>
              </w:tabs>
              <w:spacing w:before="20" w:after="2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1D3BAE">
              <w:rPr>
                <w:rFonts w:ascii="Tahoma" w:eastAsia="Calibri" w:hAnsi="Tahoma" w:cs="Tahoma"/>
                <w:sz w:val="18"/>
                <w:szCs w:val="18"/>
              </w:rPr>
              <w:t>Требования, предъявляемые к потенциальным подрядчикам по вопросам ОТ, ПБ и ООС, перечислены в «Опросном листе для оценки соответствия подрядчика/исполнителя/поставщика требованиям по ОТ, ПБ и ООС».</w:t>
            </w:r>
          </w:p>
          <w:p w:rsidR="00E71C64" w:rsidRPr="001D3BAE" w:rsidRDefault="00E71C64" w:rsidP="00002C06">
            <w:pPr>
              <w:tabs>
                <w:tab w:val="left" w:pos="993"/>
              </w:tabs>
              <w:spacing w:before="20" w:after="2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1D3BAE">
              <w:rPr>
                <w:rFonts w:ascii="Tahoma" w:eastAsia="Calibri" w:hAnsi="Tahoma" w:cs="Tahoma"/>
                <w:sz w:val="18"/>
                <w:szCs w:val="18"/>
              </w:rPr>
              <w:t>Для оценки соответствия потенциального подрядчика указанным в Опросном листе требованиям участник закупки должен представить в составе заявки на участие в закупке заполненный Опросный лист с приложением всех указанных в Опросном листе документов, подтверждающих его соответствие по каждому перечисленному требованию.</w:t>
            </w:r>
          </w:p>
          <w:p w:rsidR="00E71C64" w:rsidRPr="001D3BAE" w:rsidRDefault="00E71C64" w:rsidP="00002C06">
            <w:pPr>
              <w:tabs>
                <w:tab w:val="left" w:pos="993"/>
              </w:tabs>
              <w:spacing w:before="20" w:after="2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1D3BAE">
              <w:rPr>
                <w:rFonts w:ascii="Tahoma" w:eastAsia="Calibri" w:hAnsi="Tahoma" w:cs="Tahoma"/>
                <w:sz w:val="18"/>
                <w:szCs w:val="18"/>
              </w:rPr>
              <w:t>Оценка участника закупки на соответствие требованиям, предъявляемым Заказчиком, по оценке потенциальных подрядчиков по вопросам ОТ, ПБ и ООС осуществляется в соответствии со следующей методикой:</w:t>
            </w:r>
          </w:p>
          <w:p w:rsidR="00E71C64" w:rsidRPr="001D3BAE" w:rsidRDefault="00E71C64" w:rsidP="00002C06">
            <w:pPr>
              <w:tabs>
                <w:tab w:val="left" w:pos="993"/>
              </w:tabs>
              <w:spacing w:before="20" w:after="2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1D3BAE">
              <w:rPr>
                <w:rFonts w:ascii="Tahoma" w:eastAsia="Calibri" w:hAnsi="Tahoma" w:cs="Tahoma"/>
                <w:sz w:val="18"/>
                <w:szCs w:val="18"/>
              </w:rPr>
              <w:t>Представление документов –количество баллов из колонки Макс.</w:t>
            </w:r>
          </w:p>
          <w:p w:rsidR="00E71C64" w:rsidRPr="001D3BAE" w:rsidRDefault="00E71C64" w:rsidP="00002C06">
            <w:pPr>
              <w:tabs>
                <w:tab w:val="left" w:pos="993"/>
              </w:tabs>
              <w:spacing w:before="20" w:after="2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1D3BAE">
              <w:rPr>
                <w:rFonts w:ascii="Tahoma" w:eastAsia="Calibri" w:hAnsi="Tahoma" w:cs="Tahoma"/>
                <w:sz w:val="18"/>
                <w:szCs w:val="18"/>
              </w:rPr>
              <w:t>Не предоставление документов – 0 баллов.</w:t>
            </w:r>
          </w:p>
          <w:p w:rsidR="00E71C64" w:rsidRPr="001D3BAE" w:rsidRDefault="00E71C64" w:rsidP="00002C06">
            <w:pPr>
              <w:tabs>
                <w:tab w:val="left" w:pos="993"/>
              </w:tabs>
              <w:spacing w:before="20" w:after="2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1D3BAE">
              <w:rPr>
                <w:rFonts w:ascii="Tahoma" w:eastAsia="Calibri" w:hAnsi="Tahoma" w:cs="Tahoma"/>
                <w:sz w:val="18"/>
                <w:szCs w:val="18"/>
              </w:rPr>
              <w:t>Общая сумма баллов: до 34 – подрядчик признан несоответствующим дополнительным и специальным требованиям к участникам закупки.</w:t>
            </w:r>
          </w:p>
          <w:p w:rsidR="00E71C64" w:rsidRPr="001D3BAE" w:rsidRDefault="00E71C64" w:rsidP="00002C06">
            <w:pPr>
              <w:tabs>
                <w:tab w:val="left" w:pos="993"/>
              </w:tabs>
              <w:spacing w:before="20" w:after="2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1D3BAE">
              <w:rPr>
                <w:rFonts w:ascii="Tahoma" w:eastAsia="Calibri" w:hAnsi="Tahoma" w:cs="Tahoma"/>
                <w:sz w:val="18"/>
                <w:szCs w:val="18"/>
              </w:rPr>
              <w:t>Общая сумма баллов: 34 и более – подрядчик соответствует требованиям по вопросам ОТ, ПБ и ООС.</w:t>
            </w:r>
          </w:p>
          <w:p w:rsidR="00E71C64" w:rsidRPr="001D3BAE" w:rsidRDefault="00E71C64" w:rsidP="00002C06">
            <w:pPr>
              <w:tabs>
                <w:tab w:val="left" w:pos="993"/>
              </w:tabs>
              <w:spacing w:before="20" w:after="2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1D3BAE">
              <w:rPr>
                <w:rFonts w:ascii="Tahoma" w:eastAsia="Calibri" w:hAnsi="Tahoma" w:cs="Tahoma"/>
                <w:sz w:val="18"/>
                <w:szCs w:val="18"/>
              </w:rPr>
              <w:t>Максимальное количество баллов – 48.</w:t>
            </w:r>
          </w:p>
          <w:p w:rsidR="00E71C64" w:rsidRPr="001D3BAE" w:rsidRDefault="00E71C64" w:rsidP="00002C06">
            <w:pPr>
              <w:tabs>
                <w:tab w:val="left" w:pos="993"/>
              </w:tabs>
              <w:spacing w:before="20" w:after="2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1D3BAE">
              <w:rPr>
                <w:rFonts w:ascii="Tahoma" w:eastAsia="Calibri" w:hAnsi="Tahoma" w:cs="Tahoma"/>
                <w:sz w:val="18"/>
                <w:szCs w:val="18"/>
              </w:rPr>
              <w:t>Непредставление заполненного Опросного листа с подтверждающими документами будет расцениваться как несоответствие участника закупки требованиям в области ОТ, ПБ и ООС.</w:t>
            </w:r>
          </w:p>
          <w:p w:rsidR="00E71C64" w:rsidRPr="001D3BAE" w:rsidRDefault="00E71C64" w:rsidP="00002C06">
            <w:pPr>
              <w:spacing w:before="20" w:after="2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1D3BAE">
              <w:rPr>
                <w:rFonts w:ascii="Tahoma" w:eastAsia="Calibri" w:hAnsi="Tahoma" w:cs="Tahoma"/>
                <w:sz w:val="18"/>
                <w:szCs w:val="18"/>
              </w:rPr>
              <w:t>После рассмотрения информации, предоставленной потенциальными подрядчиками, Заказчик может провести оценку (аудит) деятельности претендента непосредственно на его рабочих местах/производственных объектах (если это необходимо). В случае несоответствий предоставленной информации реальной производственной деятельности претендент признается несоответствующим дополнительным и специальным требованиям к участникам закупки и не допускается далее до балльной оценки</w:t>
            </w:r>
          </w:p>
        </w:tc>
      </w:tr>
    </w:tbl>
    <w:p w:rsidR="00862696" w:rsidRPr="00E71C64" w:rsidRDefault="00EA1427" w:rsidP="00E71C64"/>
    <w:sectPr w:rsidR="00862696" w:rsidRPr="00E71C64" w:rsidSect="00096BA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427" w:rsidRDefault="00EA1427" w:rsidP="00215360">
      <w:pPr>
        <w:spacing w:after="0" w:line="240" w:lineRule="auto"/>
      </w:pPr>
      <w:r>
        <w:separator/>
      </w:r>
    </w:p>
  </w:endnote>
  <w:endnote w:type="continuationSeparator" w:id="0">
    <w:p w:rsidR="00EA1427" w:rsidRDefault="00EA1427" w:rsidP="00215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427" w:rsidRDefault="00EA1427" w:rsidP="00215360">
      <w:pPr>
        <w:spacing w:after="0" w:line="240" w:lineRule="auto"/>
      </w:pPr>
      <w:r>
        <w:separator/>
      </w:r>
    </w:p>
  </w:footnote>
  <w:footnote w:type="continuationSeparator" w:id="0">
    <w:p w:rsidR="00EA1427" w:rsidRDefault="00EA1427" w:rsidP="00215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B2E"/>
    <w:multiLevelType w:val="hybridMultilevel"/>
    <w:tmpl w:val="F552CD86"/>
    <w:lvl w:ilvl="0" w:tplc="07824048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7448F"/>
    <w:multiLevelType w:val="hybridMultilevel"/>
    <w:tmpl w:val="ED52F4AE"/>
    <w:lvl w:ilvl="0" w:tplc="034CE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537A9"/>
    <w:multiLevelType w:val="hybridMultilevel"/>
    <w:tmpl w:val="2D4882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37A2E"/>
    <w:multiLevelType w:val="hybridMultilevel"/>
    <w:tmpl w:val="28E40140"/>
    <w:lvl w:ilvl="0" w:tplc="034CE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C0676"/>
    <w:multiLevelType w:val="hybridMultilevel"/>
    <w:tmpl w:val="1E283AD0"/>
    <w:lvl w:ilvl="0" w:tplc="0866A632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43140"/>
    <w:multiLevelType w:val="hybridMultilevel"/>
    <w:tmpl w:val="119C03C0"/>
    <w:lvl w:ilvl="0" w:tplc="54AEE6B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163A0E"/>
    <w:multiLevelType w:val="hybridMultilevel"/>
    <w:tmpl w:val="CB72791E"/>
    <w:lvl w:ilvl="0" w:tplc="AA7CF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8659D"/>
    <w:multiLevelType w:val="hybridMultilevel"/>
    <w:tmpl w:val="18CCC0F4"/>
    <w:lvl w:ilvl="0" w:tplc="0866A632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E09E2"/>
    <w:multiLevelType w:val="hybridMultilevel"/>
    <w:tmpl w:val="4C40BAEA"/>
    <w:lvl w:ilvl="0" w:tplc="0B284250">
      <w:start w:val="1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A0208C"/>
    <w:multiLevelType w:val="hybridMultilevel"/>
    <w:tmpl w:val="9C446E2C"/>
    <w:lvl w:ilvl="0" w:tplc="034CE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C0741"/>
    <w:multiLevelType w:val="hybridMultilevel"/>
    <w:tmpl w:val="DA324778"/>
    <w:lvl w:ilvl="0" w:tplc="034CE10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1825754D"/>
    <w:multiLevelType w:val="hybridMultilevel"/>
    <w:tmpl w:val="BC825358"/>
    <w:lvl w:ilvl="0" w:tplc="202C7EFA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C7FFE"/>
    <w:multiLevelType w:val="hybridMultilevel"/>
    <w:tmpl w:val="0D50145C"/>
    <w:lvl w:ilvl="0" w:tplc="0F2695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14050"/>
    <w:multiLevelType w:val="hybridMultilevel"/>
    <w:tmpl w:val="1346B3D2"/>
    <w:lvl w:ilvl="0" w:tplc="034CE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B46D2"/>
    <w:multiLevelType w:val="hybridMultilevel"/>
    <w:tmpl w:val="473089FC"/>
    <w:lvl w:ilvl="0" w:tplc="AA7CF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FF7AA8"/>
    <w:multiLevelType w:val="hybridMultilevel"/>
    <w:tmpl w:val="0EE017D2"/>
    <w:lvl w:ilvl="0" w:tplc="550C2A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E60FA"/>
    <w:multiLevelType w:val="hybridMultilevel"/>
    <w:tmpl w:val="9C10A764"/>
    <w:lvl w:ilvl="0" w:tplc="0E88DD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75AF8"/>
    <w:multiLevelType w:val="hybridMultilevel"/>
    <w:tmpl w:val="54329390"/>
    <w:lvl w:ilvl="0" w:tplc="0F2695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90D3C"/>
    <w:multiLevelType w:val="hybridMultilevel"/>
    <w:tmpl w:val="491622AE"/>
    <w:lvl w:ilvl="0" w:tplc="E968F1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8043A"/>
    <w:multiLevelType w:val="hybridMultilevel"/>
    <w:tmpl w:val="88940F0E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AD2BB9"/>
    <w:multiLevelType w:val="hybridMultilevel"/>
    <w:tmpl w:val="05F03074"/>
    <w:lvl w:ilvl="0" w:tplc="0866A632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34D27"/>
    <w:multiLevelType w:val="hybridMultilevel"/>
    <w:tmpl w:val="12768D86"/>
    <w:lvl w:ilvl="0" w:tplc="0F2695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C5D9E"/>
    <w:multiLevelType w:val="hybridMultilevel"/>
    <w:tmpl w:val="7206ECB4"/>
    <w:lvl w:ilvl="0" w:tplc="AA7CF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37777E"/>
    <w:multiLevelType w:val="hybridMultilevel"/>
    <w:tmpl w:val="96F22C02"/>
    <w:lvl w:ilvl="0" w:tplc="20D84A8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75A49"/>
    <w:multiLevelType w:val="hybridMultilevel"/>
    <w:tmpl w:val="8B027782"/>
    <w:lvl w:ilvl="0" w:tplc="51861B0C">
      <w:start w:val="1"/>
      <w:numFmt w:val="decimal"/>
      <w:lvlText w:val="%1)"/>
      <w:lvlJc w:val="left"/>
      <w:pPr>
        <w:ind w:left="36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182E51"/>
    <w:multiLevelType w:val="hybridMultilevel"/>
    <w:tmpl w:val="49468FE2"/>
    <w:lvl w:ilvl="0" w:tplc="0866A632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312577"/>
    <w:multiLevelType w:val="hybridMultilevel"/>
    <w:tmpl w:val="DD884E80"/>
    <w:lvl w:ilvl="0" w:tplc="AA7CF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AE31D14"/>
    <w:multiLevelType w:val="hybridMultilevel"/>
    <w:tmpl w:val="6E9CF39C"/>
    <w:lvl w:ilvl="0" w:tplc="034CE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113B1D"/>
    <w:multiLevelType w:val="hybridMultilevel"/>
    <w:tmpl w:val="B71EA75C"/>
    <w:lvl w:ilvl="0" w:tplc="3C8AF8F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8E3415"/>
    <w:multiLevelType w:val="hybridMultilevel"/>
    <w:tmpl w:val="7478C428"/>
    <w:lvl w:ilvl="0" w:tplc="E0B047B0">
      <w:start w:val="1"/>
      <w:numFmt w:val="decimal"/>
      <w:lvlText w:val="%1)"/>
      <w:lvlJc w:val="left"/>
      <w:pPr>
        <w:ind w:left="36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B80FC2"/>
    <w:multiLevelType w:val="hybridMultilevel"/>
    <w:tmpl w:val="FC3C3D78"/>
    <w:lvl w:ilvl="0" w:tplc="AB624B4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A41B99"/>
    <w:multiLevelType w:val="hybridMultilevel"/>
    <w:tmpl w:val="ABC65AE6"/>
    <w:lvl w:ilvl="0" w:tplc="9B3E0A84">
      <w:start w:val="1"/>
      <w:numFmt w:val="decimal"/>
      <w:suff w:val="space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32" w15:restartNumberingAfterBreak="0">
    <w:nsid w:val="5B6C7F82"/>
    <w:multiLevelType w:val="hybridMultilevel"/>
    <w:tmpl w:val="DE6A0748"/>
    <w:lvl w:ilvl="0" w:tplc="AA7CF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B143B"/>
    <w:multiLevelType w:val="hybridMultilevel"/>
    <w:tmpl w:val="8730D294"/>
    <w:lvl w:ilvl="0" w:tplc="064E2C2A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D6096F"/>
    <w:multiLevelType w:val="hybridMultilevel"/>
    <w:tmpl w:val="6E4A798E"/>
    <w:lvl w:ilvl="0" w:tplc="AFE0D9C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F4A7744"/>
    <w:multiLevelType w:val="hybridMultilevel"/>
    <w:tmpl w:val="938AA462"/>
    <w:lvl w:ilvl="0" w:tplc="7AFCA52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B365EC"/>
    <w:multiLevelType w:val="hybridMultilevel"/>
    <w:tmpl w:val="402641FE"/>
    <w:lvl w:ilvl="0" w:tplc="AA7CF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63114"/>
    <w:multiLevelType w:val="hybridMultilevel"/>
    <w:tmpl w:val="4964FF98"/>
    <w:lvl w:ilvl="0" w:tplc="24D6B1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DC0293"/>
    <w:multiLevelType w:val="hybridMultilevel"/>
    <w:tmpl w:val="C2B8995E"/>
    <w:lvl w:ilvl="0" w:tplc="AA7CF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752AE"/>
    <w:multiLevelType w:val="hybridMultilevel"/>
    <w:tmpl w:val="E97A9290"/>
    <w:lvl w:ilvl="0" w:tplc="034CE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B221D1"/>
    <w:multiLevelType w:val="hybridMultilevel"/>
    <w:tmpl w:val="0A54AF9A"/>
    <w:lvl w:ilvl="0" w:tplc="488A5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353FD3"/>
    <w:multiLevelType w:val="hybridMultilevel"/>
    <w:tmpl w:val="71DC777C"/>
    <w:lvl w:ilvl="0" w:tplc="034CE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34CE1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064437"/>
    <w:multiLevelType w:val="hybridMultilevel"/>
    <w:tmpl w:val="AC6C18EA"/>
    <w:lvl w:ilvl="0" w:tplc="14FAFBAC">
      <w:start w:val="1"/>
      <w:numFmt w:val="decimal"/>
      <w:lvlText w:val="%1)"/>
      <w:lvlJc w:val="left"/>
      <w:pPr>
        <w:ind w:left="36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16"/>
  </w:num>
  <w:num w:numId="3">
    <w:abstractNumId w:val="36"/>
  </w:num>
  <w:num w:numId="4">
    <w:abstractNumId w:val="34"/>
  </w:num>
  <w:num w:numId="5">
    <w:abstractNumId w:val="42"/>
  </w:num>
  <w:num w:numId="6">
    <w:abstractNumId w:val="37"/>
  </w:num>
  <w:num w:numId="7">
    <w:abstractNumId w:val="4"/>
  </w:num>
  <w:num w:numId="8">
    <w:abstractNumId w:val="22"/>
  </w:num>
  <w:num w:numId="9">
    <w:abstractNumId w:val="11"/>
  </w:num>
  <w:num w:numId="10">
    <w:abstractNumId w:val="28"/>
  </w:num>
  <w:num w:numId="11">
    <w:abstractNumId w:val="24"/>
  </w:num>
  <w:num w:numId="12">
    <w:abstractNumId w:val="0"/>
  </w:num>
  <w:num w:numId="13">
    <w:abstractNumId w:val="14"/>
  </w:num>
  <w:num w:numId="14">
    <w:abstractNumId w:val="6"/>
  </w:num>
  <w:num w:numId="15">
    <w:abstractNumId w:val="25"/>
  </w:num>
  <w:num w:numId="16">
    <w:abstractNumId w:val="12"/>
  </w:num>
  <w:num w:numId="17">
    <w:abstractNumId w:val="5"/>
  </w:num>
  <w:num w:numId="18">
    <w:abstractNumId w:val="35"/>
  </w:num>
  <w:num w:numId="19">
    <w:abstractNumId w:val="19"/>
  </w:num>
  <w:num w:numId="20">
    <w:abstractNumId w:val="18"/>
  </w:num>
  <w:num w:numId="21">
    <w:abstractNumId w:val="29"/>
  </w:num>
  <w:num w:numId="22">
    <w:abstractNumId w:val="30"/>
  </w:num>
  <w:num w:numId="23">
    <w:abstractNumId w:val="26"/>
  </w:num>
  <w:num w:numId="24">
    <w:abstractNumId w:val="7"/>
  </w:num>
  <w:num w:numId="25">
    <w:abstractNumId w:val="20"/>
  </w:num>
  <w:num w:numId="26">
    <w:abstractNumId w:val="23"/>
  </w:num>
  <w:num w:numId="27">
    <w:abstractNumId w:val="15"/>
  </w:num>
  <w:num w:numId="28">
    <w:abstractNumId w:val="38"/>
  </w:num>
  <w:num w:numId="29">
    <w:abstractNumId w:val="21"/>
  </w:num>
  <w:num w:numId="30">
    <w:abstractNumId w:val="17"/>
  </w:num>
  <w:num w:numId="31">
    <w:abstractNumId w:val="32"/>
  </w:num>
  <w:num w:numId="32">
    <w:abstractNumId w:val="2"/>
  </w:num>
  <w:num w:numId="33">
    <w:abstractNumId w:val="33"/>
  </w:num>
  <w:num w:numId="34">
    <w:abstractNumId w:val="8"/>
  </w:num>
  <w:num w:numId="35">
    <w:abstractNumId w:val="41"/>
  </w:num>
  <w:num w:numId="36">
    <w:abstractNumId w:val="3"/>
  </w:num>
  <w:num w:numId="37">
    <w:abstractNumId w:val="9"/>
  </w:num>
  <w:num w:numId="38">
    <w:abstractNumId w:val="27"/>
  </w:num>
  <w:num w:numId="39">
    <w:abstractNumId w:val="1"/>
  </w:num>
  <w:num w:numId="40">
    <w:abstractNumId w:val="13"/>
  </w:num>
  <w:num w:numId="41">
    <w:abstractNumId w:val="10"/>
  </w:num>
  <w:num w:numId="42">
    <w:abstractNumId w:val="40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E9"/>
    <w:rsid w:val="00005581"/>
    <w:rsid w:val="00074C7A"/>
    <w:rsid w:val="00096BAC"/>
    <w:rsid w:val="00125297"/>
    <w:rsid w:val="001464EB"/>
    <w:rsid w:val="001A1994"/>
    <w:rsid w:val="001A3373"/>
    <w:rsid w:val="00215360"/>
    <w:rsid w:val="002819FF"/>
    <w:rsid w:val="002A4346"/>
    <w:rsid w:val="004263E9"/>
    <w:rsid w:val="00521AD0"/>
    <w:rsid w:val="00542E28"/>
    <w:rsid w:val="005609F7"/>
    <w:rsid w:val="005F08CE"/>
    <w:rsid w:val="006526A8"/>
    <w:rsid w:val="00672863"/>
    <w:rsid w:val="00885906"/>
    <w:rsid w:val="008A1085"/>
    <w:rsid w:val="0095231A"/>
    <w:rsid w:val="009870D3"/>
    <w:rsid w:val="00B80375"/>
    <w:rsid w:val="00C00796"/>
    <w:rsid w:val="00CF7BE4"/>
    <w:rsid w:val="00E210A6"/>
    <w:rsid w:val="00E71C64"/>
    <w:rsid w:val="00E96AAE"/>
    <w:rsid w:val="00EA1427"/>
    <w:rsid w:val="00EC1421"/>
    <w:rsid w:val="00F84D32"/>
    <w:rsid w:val="00FD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F5B1"/>
  <w15:chartTrackingRefBased/>
  <w15:docId w15:val="{A9CD3A28-00D8-4760-99BD-39B42B97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C64"/>
  </w:style>
  <w:style w:type="paragraph" w:styleId="1">
    <w:name w:val="heading 1"/>
    <w:aliases w:val="Знак"/>
    <w:basedOn w:val="a"/>
    <w:next w:val="a"/>
    <w:link w:val="10"/>
    <w:uiPriority w:val="9"/>
    <w:qFormat/>
    <w:rsid w:val="005F08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_IRAO,List Paragraph"/>
    <w:basedOn w:val="a"/>
    <w:link w:val="a5"/>
    <w:uiPriority w:val="34"/>
    <w:qFormat/>
    <w:rsid w:val="00E96AAE"/>
    <w:pPr>
      <w:ind w:left="720"/>
      <w:contextualSpacing/>
    </w:pPr>
  </w:style>
  <w:style w:type="character" w:customStyle="1" w:styleId="a5">
    <w:name w:val="Абзац списка Знак"/>
    <w:aliases w:val="Bullet_IRAO Знак,List Paragraph Знак"/>
    <w:link w:val="a4"/>
    <w:uiPriority w:val="34"/>
    <w:locked/>
    <w:rsid w:val="00E96AAE"/>
  </w:style>
  <w:style w:type="paragraph" w:styleId="a6">
    <w:name w:val="No Spacing"/>
    <w:uiPriority w:val="1"/>
    <w:qFormat/>
    <w:rsid w:val="00542E28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7">
    <w:name w:val="Сетка таблицы7"/>
    <w:basedOn w:val="a1"/>
    <w:next w:val="a3"/>
    <w:uiPriority w:val="59"/>
    <w:rsid w:val="00952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Знак Знак"/>
    <w:basedOn w:val="a0"/>
    <w:link w:val="1"/>
    <w:uiPriority w:val="9"/>
    <w:rsid w:val="005F08C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71">
    <w:name w:val="Сетка таблицы71"/>
    <w:basedOn w:val="a1"/>
    <w:next w:val="a3"/>
    <w:uiPriority w:val="59"/>
    <w:rsid w:val="005F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3"/>
    <w:uiPriority w:val="59"/>
    <w:rsid w:val="00F84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otnote reference"/>
    <w:uiPriority w:val="99"/>
    <w:semiHidden/>
    <w:rsid w:val="00215360"/>
    <w:rPr>
      <w:rFonts w:ascii="Times New Roman" w:hAnsi="Times New Roman"/>
      <w:vertAlign w:val="superscript"/>
    </w:rPr>
  </w:style>
  <w:style w:type="paragraph" w:styleId="a8">
    <w:name w:val="footnote text"/>
    <w:basedOn w:val="a"/>
    <w:link w:val="a9"/>
    <w:uiPriority w:val="99"/>
    <w:rsid w:val="00215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9">
    <w:name w:val="Текст сноски Знак"/>
    <w:basedOn w:val="a0"/>
    <w:link w:val="a8"/>
    <w:uiPriority w:val="99"/>
    <w:rsid w:val="0021536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11">
    <w:name w:val="Сетка таблицы1"/>
    <w:basedOn w:val="a1"/>
    <w:next w:val="a3"/>
    <w:uiPriority w:val="99"/>
    <w:rsid w:val="00215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8DE1DC06510742854A859D34732D3F" ma:contentTypeVersion="0" ma:contentTypeDescription="Создание документа." ma:contentTypeScope="" ma:versionID="faddc6f11771df5294dee4d6f6ea24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cf5ad2598568528273edd6943bf06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8F4B68-13E2-45C0-A155-942D839DDC08}"/>
</file>

<file path=customXml/itemProps2.xml><?xml version="1.0" encoding="utf-8"?>
<ds:datastoreItem xmlns:ds="http://schemas.openxmlformats.org/officeDocument/2006/customXml" ds:itemID="{0AFCAE8E-470D-4611-B583-44A99799FBBF}"/>
</file>

<file path=customXml/itemProps3.xml><?xml version="1.0" encoding="utf-8"?>
<ds:datastoreItem xmlns:ds="http://schemas.openxmlformats.org/officeDocument/2006/customXml" ds:itemID="{FE2C5976-C672-408A-AB1D-BD83C023C7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16. Приложение № 2 к Документации о закупке. Требования к участникам закупки по ОТ, ПБ и ООС</dc:title>
  <dc:subject/>
  <dc:creator>Пантюшин Владислав Юльевич</dc:creator>
  <cp:keywords/>
  <dc:description/>
  <cp:lastModifiedBy>Пантюшин Владислав Юльевич</cp:lastModifiedBy>
  <cp:revision>11</cp:revision>
  <dcterms:created xsi:type="dcterms:W3CDTF">2020-10-05T08:16:00Z</dcterms:created>
  <dcterms:modified xsi:type="dcterms:W3CDTF">2020-10-05T11:53:00Z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0x0101003C8DE1DC06510742854A859D34732D3F</vt:lpwstr>
  </property>
</Properties>
</file>