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60" w:rsidRPr="001D3BAE" w:rsidRDefault="00215360" w:rsidP="00215360">
      <w:pPr>
        <w:spacing w:after="240" w:line="240" w:lineRule="auto"/>
        <w:jc w:val="center"/>
        <w:rPr>
          <w:rFonts w:ascii="Tahoma" w:eastAsia="Calibri" w:hAnsi="Tahoma" w:cs="Tahoma"/>
          <w:b/>
        </w:rPr>
      </w:pPr>
      <w:r w:rsidRPr="001D3BAE">
        <w:rPr>
          <w:rFonts w:ascii="Tahoma" w:eastAsia="Calibri" w:hAnsi="Tahoma" w:cs="Tahoma"/>
          <w:b/>
        </w:rPr>
        <w:t>Приложение № 1 «Требования к участникам закупки»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75"/>
        <w:gridCol w:w="1987"/>
        <w:gridCol w:w="1254"/>
        <w:gridCol w:w="5805"/>
        <w:gridCol w:w="814"/>
        <w:gridCol w:w="3724"/>
      </w:tblGrid>
      <w:tr w:rsidR="00215360" w:rsidRPr="001D3BAE" w:rsidTr="00002C06">
        <w:trPr>
          <w:trHeight w:val="473"/>
        </w:trPr>
        <w:tc>
          <w:tcPr>
            <w:tcW w:w="5000" w:type="pct"/>
            <w:gridSpan w:val="7"/>
            <w:vAlign w:val="center"/>
          </w:tcPr>
          <w:p w:rsidR="00215360" w:rsidRPr="001D3BAE" w:rsidRDefault="00215360" w:rsidP="00002C06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</w:pPr>
            <w:r w:rsidRPr="001D3BAE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>Раздел №</w:t>
            </w:r>
            <w:r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 xml:space="preserve"> </w:t>
            </w:r>
            <w:r w:rsidRPr="001D3BAE">
              <w:rPr>
                <w:rFonts w:ascii="Tahoma" w:eastAsia="Times New Roman" w:hAnsi="Tahoma" w:cs="Tahoma"/>
                <w:b/>
                <w:bCs/>
                <w:u w:val="single"/>
                <w:lang w:eastAsia="ru-RU"/>
              </w:rPr>
              <w:t>3 Требования к участникам закупки</w:t>
            </w:r>
          </w:p>
        </w:tc>
      </w:tr>
      <w:tr w:rsidR="00215360" w:rsidRPr="001D3BAE" w:rsidTr="00002C06">
        <w:trPr>
          <w:trHeight w:val="800"/>
        </w:trPr>
        <w:tc>
          <w:tcPr>
            <w:tcW w:w="5000" w:type="pct"/>
            <w:gridSpan w:val="7"/>
            <w:vAlign w:val="center"/>
          </w:tcPr>
          <w:p w:rsidR="00215360" w:rsidRPr="001D3BAE" w:rsidRDefault="00215360" w:rsidP="00002C06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lang w:eastAsia="ru-RU"/>
              </w:rPr>
            </w:pPr>
            <w:r w:rsidRPr="001D3BAE">
              <w:rPr>
                <w:rFonts w:ascii="Tahoma" w:eastAsia="Times New Roman" w:hAnsi="Tahoma" w:cs="Tahoma"/>
                <w:b/>
                <w:bCs/>
                <w:lang w:eastAsia="ru-RU"/>
              </w:rPr>
              <w:t>Раздел №</w:t>
            </w:r>
            <w:r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 </w:t>
            </w:r>
            <w:r w:rsidRPr="001D3BAE">
              <w:rPr>
                <w:rFonts w:ascii="Tahoma" w:eastAsia="Times New Roman" w:hAnsi="Tahoma" w:cs="Tahoma"/>
                <w:b/>
                <w:bCs/>
                <w:lang w:eastAsia="ru-RU"/>
              </w:rPr>
              <w:t>3.1. Требования к содержанию и формату оформления представляемой информации</w:t>
            </w:r>
          </w:p>
        </w:tc>
      </w:tr>
      <w:tr w:rsidR="00215360" w:rsidRPr="00FE2057" w:rsidTr="00002C06">
        <w:trPr>
          <w:trHeight w:val="983"/>
        </w:trPr>
        <w:tc>
          <w:tcPr>
            <w:tcW w:w="276" w:type="pct"/>
            <w:gridSpan w:val="2"/>
          </w:tcPr>
          <w:p w:rsidR="00215360" w:rsidRPr="00BA390A" w:rsidRDefault="00215360" w:rsidP="00002C06">
            <w:pPr>
              <w:spacing w:after="0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3.1.1.</w:t>
            </w:r>
          </w:p>
        </w:tc>
        <w:tc>
          <w:tcPr>
            <w:tcW w:w="691" w:type="pct"/>
          </w:tcPr>
          <w:p w:rsidR="00215360" w:rsidRPr="00BA390A" w:rsidRDefault="00215360" w:rsidP="00002C06">
            <w:pPr>
              <w:spacing w:after="0" w:line="240" w:lineRule="auto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 xml:space="preserve">Перечень документов, предоставляемых </w:t>
            </w:r>
            <w:r>
              <w:rPr>
                <w:rFonts w:ascii="Tahoma" w:hAnsi="Tahoma" w:cs="Tahoma"/>
              </w:rPr>
              <w:t xml:space="preserve">участниками закупки в </w:t>
            </w:r>
            <w:r w:rsidRPr="00BA390A">
              <w:rPr>
                <w:rFonts w:ascii="Tahoma" w:hAnsi="Tahoma" w:cs="Tahoma"/>
              </w:rPr>
              <w:t>рамка</w:t>
            </w:r>
            <w:r>
              <w:rPr>
                <w:rFonts w:ascii="Tahoma" w:hAnsi="Tahoma" w:cs="Tahoma"/>
              </w:rPr>
              <w:t>х проведения закупки</w:t>
            </w:r>
          </w:p>
        </w:tc>
        <w:tc>
          <w:tcPr>
            <w:tcW w:w="403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5360" w:rsidRPr="00CB0FD0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1. </w:t>
            </w:r>
            <w:r w:rsidRPr="00CB0FD0">
              <w:rPr>
                <w:rFonts w:ascii="Tahoma" w:hAnsi="Tahoma" w:cs="Tahoma"/>
                <w:b/>
              </w:rPr>
              <w:t>Общие документы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Всеми участниками независимо от статуса и организационно-правовой формы в обязательном порядке должны быть предоставлены следующие документы: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анкета по установленной форме (форма № 3</w:t>
            </w:r>
            <w:r>
              <w:rPr>
                <w:rFonts w:ascii="Tahoma" w:hAnsi="Tahoma" w:cs="Tahoma"/>
              </w:rPr>
              <w:t>)</w:t>
            </w:r>
            <w:r w:rsidRPr="00BA390A">
              <w:rPr>
                <w:rFonts w:ascii="Tahoma" w:hAnsi="Tahoma" w:cs="Tahoma"/>
              </w:rPr>
              <w:t>;</w:t>
            </w:r>
          </w:p>
          <w:p w:rsidR="00215360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Декларация о соответствии Участника закупки критериям отнесения к субъектам малого и среднего предпринимательства по форме приложения к Постановлению Правительства РФ от 11.12.2014 № 1352 в случае отсутствия сведений о Партнере, который является вновь зарегистрированным индивидуальным предпринимателем или вновь созданным юридическим лицом в соответствии с ч. 3 ст. 4 Федерального закона «О развитии малого и среднего предпринимательства в РФ», в едином реестре субъектов малого и среднего п</w:t>
            </w:r>
            <w:r>
              <w:rPr>
                <w:rFonts w:ascii="Tahoma" w:hAnsi="Tahoma" w:cs="Tahoma"/>
              </w:rPr>
              <w:t>редпринимательства (форма № 3.2</w:t>
            </w:r>
            <w:r w:rsidRPr="00BA390A">
              <w:rPr>
                <w:rFonts w:ascii="Tahoma" w:hAnsi="Tahoma" w:cs="Tahoma"/>
              </w:rPr>
              <w:t>) (при необходимости только для резидентов РФ).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215360" w:rsidRPr="00CB0FD0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2. </w:t>
            </w:r>
            <w:r w:rsidRPr="00CB0FD0">
              <w:rPr>
                <w:rFonts w:ascii="Tahoma" w:hAnsi="Tahoma" w:cs="Tahoma"/>
                <w:b/>
              </w:rPr>
              <w:t>Прилагаемый к анкете перечень квалификационной документации</w:t>
            </w:r>
          </w:p>
          <w:p w:rsidR="00215360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В составе приложений к анкете Участники закупки в зависимости от статуса и организационно-правовой формы представляют следующие документы: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  <w:u w:val="single"/>
              </w:rPr>
            </w:pPr>
            <w:r w:rsidRPr="00BA390A">
              <w:rPr>
                <w:rFonts w:ascii="Tahoma" w:hAnsi="Tahoma" w:cs="Tahoma"/>
                <w:u w:val="single"/>
              </w:rPr>
              <w:t>Для резидентов РФ — юридических лиц: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копию Устава;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Подтверждение согласия физического лица на обработку персональных данных;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Подтверждение участником закупки наличия согласия на обработку персональных данных и направления уведомлений об осуществлении обработки персональных данных;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копию документа, подтверждающего полномочия единоличного исполнительного органа и, в случае, если документы подписываются по доверенности, копию доверенности на лицо, подписывающее документы;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копию формы КНД-1110018 «Сведения о среднесписочной численности работников за предшествующий календарный год»;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копию Справки об исполнении налогоплательщиком обязанности по уплате налогов, сборов, пеней, штрафов (формы КНД-1120101). Дата выдачи справки не более 1 (одного) месяца от даты подачи документов.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 xml:space="preserve">Финансовая отчетность для коммерческих организаций (за последний год, на последнюю отчетную дату (квартал) при наличии): 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копия формы 0710001 по ОКУД – Бухгалтерский баланс;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копия формы 0710002 по ОКУД – Отчет о финансовых результатах;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lastRenderedPageBreak/>
              <w:t></w:t>
            </w:r>
            <w:r w:rsidRPr="00BA390A">
              <w:rPr>
                <w:rFonts w:ascii="Tahoma" w:hAnsi="Tahoma" w:cs="Tahoma"/>
              </w:rPr>
              <w:tab/>
              <w:t>копия формы 0710003 по ОКУД – Отчет об изменениях капитала.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Финансовая отчетность для кредитных организаций (за последние 2 года и на последнюю отчетную дату):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копия формы 0409806 по ОКУД – Бухгалтерский баланс (публикуемая форма);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копия формы 0409807 по ОКУД – Отчет о финансовых результатах (публикуемая форма);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копия формы 0409813 по ОКУД – Сведения об обязательных нормативах (публикуемая форма);</w:t>
            </w:r>
          </w:p>
          <w:p w:rsidR="00215360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копия формы 0409814 по ОКУД – Отчет о движении денежных средств (публикуемая форма).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  <w:u w:val="single"/>
              </w:rPr>
            </w:pPr>
            <w:r w:rsidRPr="00BA390A">
              <w:rPr>
                <w:rFonts w:ascii="Tahoma" w:hAnsi="Tahoma" w:cs="Tahoma"/>
                <w:u w:val="single"/>
              </w:rPr>
              <w:t>Для резидентов РФ — индивидуальных предпринимателей: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копия общегражданского паспорта индивидуального предпринимателя;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Подтверждение согласия физического лица на обработку персональных данных;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копия формы КНД-1120101 Справки об исполнении налогоплательщиком обязанности по уплате налогов, сборов, пеней, штрафов. Дата выдачи справки не более 1 (одного) месяца от даты подачи документов;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при наличии, копия формы КНД-1110018 «Сведения о среднесписочной численности работников за предшествующий календарный год»;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копия формы 0710001 по ОКУД – Бухгалтерский баланс (на последнюю отчетную дату (квартал));</w:t>
            </w:r>
          </w:p>
          <w:p w:rsidR="00215360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копия формы 0710002 по ОКУД – Отчет о финансовых результатах (на последнюю отчетную дату (квартал)).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  <w:u w:val="single"/>
              </w:rPr>
            </w:pPr>
            <w:r w:rsidRPr="00BA390A">
              <w:rPr>
                <w:rFonts w:ascii="Tahoma" w:hAnsi="Tahoma" w:cs="Tahoma"/>
                <w:u w:val="single"/>
              </w:rPr>
              <w:t>Для нерезидентов РФ: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копия информации о регистрации Участника закупки, а также данные об учредителях и собственниках Участника закупки, в виде выписки из торгового реестра, с приложением перевода на русский язык;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в случае если документы подписываются по доверенности, представляется копия доверенности на лицо, подписывающее такие документы, с приложением перевода на русский язык;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в случае если в соответствии с законодательством страны Участника закупки представление тех или иных документов невозможно – Участник закупки обязан представить информационное письмо-справку с объяснением таких причин, а также (насколько это возможно) аналогичный документ, близкий по содержанию к запрашиваемому, с переводом на русский язык;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копия информации о регистрации Участника закупки в налоговых органах по месту юридической регистрации Участника закупки (TIN или аналогичный номер налогоплательщика по месту регистрации).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 xml:space="preserve">Финансовая отчетность для коммерческих и кредитных организаций (отчетность по стандартам IAS) за последний отчетный период и за последние 2 года по разделам (допускается не </w:t>
            </w:r>
            <w:proofErr w:type="spellStart"/>
            <w:r w:rsidRPr="00BA390A">
              <w:rPr>
                <w:rFonts w:ascii="Tahoma" w:hAnsi="Tahoma" w:cs="Tahoma"/>
              </w:rPr>
              <w:t>аудированная</w:t>
            </w:r>
            <w:proofErr w:type="spellEnd"/>
            <w:r w:rsidRPr="00BA390A">
              <w:rPr>
                <w:rFonts w:ascii="Tahoma" w:hAnsi="Tahoma" w:cs="Tahoma"/>
              </w:rPr>
              <w:t>):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  <w:lang w:val="en-US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  <w:lang w:val="en-US"/>
              </w:rPr>
              <w:tab/>
              <w:t>Consolidated Balance Sheet (</w:t>
            </w:r>
            <w:r w:rsidRPr="00BA390A">
              <w:rPr>
                <w:rFonts w:ascii="Tahoma" w:hAnsi="Tahoma" w:cs="Tahoma"/>
              </w:rPr>
              <w:t>Бухгалтерский</w:t>
            </w:r>
            <w:r w:rsidRPr="00BA390A">
              <w:rPr>
                <w:rFonts w:ascii="Tahoma" w:hAnsi="Tahoma" w:cs="Tahoma"/>
                <w:lang w:val="en-US"/>
              </w:rPr>
              <w:t xml:space="preserve"> </w:t>
            </w:r>
            <w:r w:rsidRPr="00BA390A">
              <w:rPr>
                <w:rFonts w:ascii="Tahoma" w:hAnsi="Tahoma" w:cs="Tahoma"/>
              </w:rPr>
              <w:t>баланс</w:t>
            </w:r>
            <w:r w:rsidRPr="00BA390A">
              <w:rPr>
                <w:rFonts w:ascii="Tahoma" w:hAnsi="Tahoma" w:cs="Tahoma"/>
                <w:lang w:val="en-US"/>
              </w:rPr>
              <w:t>);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</w:r>
            <w:proofErr w:type="spellStart"/>
            <w:r w:rsidRPr="00BA390A">
              <w:rPr>
                <w:rFonts w:ascii="Tahoma" w:hAnsi="Tahoma" w:cs="Tahoma"/>
              </w:rPr>
              <w:t>Income</w:t>
            </w:r>
            <w:proofErr w:type="spellEnd"/>
            <w:r w:rsidRPr="00BA390A">
              <w:rPr>
                <w:rFonts w:ascii="Tahoma" w:hAnsi="Tahoma" w:cs="Tahoma"/>
              </w:rPr>
              <w:t xml:space="preserve"> </w:t>
            </w:r>
            <w:proofErr w:type="spellStart"/>
            <w:r w:rsidRPr="00BA390A">
              <w:rPr>
                <w:rFonts w:ascii="Tahoma" w:hAnsi="Tahoma" w:cs="Tahoma"/>
              </w:rPr>
              <w:t>Statement</w:t>
            </w:r>
            <w:proofErr w:type="spellEnd"/>
            <w:r w:rsidRPr="00BA390A">
              <w:rPr>
                <w:rFonts w:ascii="Tahoma" w:hAnsi="Tahoma" w:cs="Tahoma"/>
              </w:rPr>
              <w:t xml:space="preserve"> (Отчет о прибылях и убытках);</w:t>
            </w:r>
          </w:p>
          <w:p w:rsidR="00215360" w:rsidRPr="00B23F2D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</w:r>
            <w:proofErr w:type="spellStart"/>
            <w:r w:rsidRPr="00BA390A">
              <w:rPr>
                <w:rFonts w:ascii="Tahoma" w:hAnsi="Tahoma" w:cs="Tahoma"/>
              </w:rPr>
              <w:t>Cash</w:t>
            </w:r>
            <w:proofErr w:type="spellEnd"/>
            <w:r w:rsidRPr="00BA390A">
              <w:rPr>
                <w:rFonts w:ascii="Tahoma" w:hAnsi="Tahoma" w:cs="Tahoma"/>
              </w:rPr>
              <w:t xml:space="preserve"> </w:t>
            </w:r>
            <w:proofErr w:type="spellStart"/>
            <w:r w:rsidRPr="00BA390A">
              <w:rPr>
                <w:rFonts w:ascii="Tahoma" w:hAnsi="Tahoma" w:cs="Tahoma"/>
              </w:rPr>
              <w:t>Flow</w:t>
            </w:r>
            <w:proofErr w:type="spellEnd"/>
            <w:r w:rsidRPr="00BA390A">
              <w:rPr>
                <w:rFonts w:ascii="Tahoma" w:hAnsi="Tahoma" w:cs="Tahoma"/>
              </w:rPr>
              <w:t xml:space="preserve"> </w:t>
            </w:r>
            <w:proofErr w:type="spellStart"/>
            <w:r w:rsidRPr="00BA390A">
              <w:rPr>
                <w:rFonts w:ascii="Tahoma" w:hAnsi="Tahoma" w:cs="Tahoma"/>
              </w:rPr>
              <w:t>Statement</w:t>
            </w:r>
            <w:proofErr w:type="spellEnd"/>
            <w:r w:rsidRPr="00BA390A">
              <w:rPr>
                <w:rFonts w:ascii="Tahoma" w:hAnsi="Tahoma" w:cs="Tahoma"/>
              </w:rPr>
              <w:t xml:space="preserve"> (Отчет о движении денежных средств), толь</w:t>
            </w:r>
            <w:r>
              <w:rPr>
                <w:rFonts w:ascii="Tahoma" w:hAnsi="Tahoma" w:cs="Tahoma"/>
              </w:rPr>
              <w:t>ко для кредитных организаций</w:t>
            </w:r>
            <w:r w:rsidRPr="00B23F2D">
              <w:rPr>
                <w:rFonts w:ascii="Tahoma" w:hAnsi="Tahoma" w:cs="Tahoma"/>
              </w:rPr>
              <w:t>;</w:t>
            </w:r>
          </w:p>
          <w:p w:rsidR="00215360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</w:t>
            </w:r>
            <w:r>
              <w:rPr>
                <w:rFonts w:ascii="Tahoma" w:hAnsi="Tahoma" w:cs="Tahoma"/>
              </w:rPr>
              <w:tab/>
              <w:t xml:space="preserve">гарантийное письмо о соблюдении обязанностей, приведённых в п. 4.4 Документации о закупке </w:t>
            </w:r>
            <w:r>
              <w:rPr>
                <w:rFonts w:ascii="Tahoma" w:eastAsia="Calibri" w:hAnsi="Tahoma" w:cs="Tahoma"/>
                <w:color w:val="000000"/>
              </w:rPr>
              <w:t>в</w:t>
            </w:r>
            <w:r w:rsidRPr="00E544BB">
              <w:rPr>
                <w:rFonts w:ascii="Tahoma" w:eastAsia="Calibri" w:hAnsi="Tahoma" w:cs="Tahoma"/>
                <w:color w:val="000000"/>
              </w:rPr>
              <w:t xml:space="preserve"> случае, если договор</w:t>
            </w:r>
            <w:r>
              <w:rPr>
                <w:rFonts w:ascii="Tahoma" w:eastAsia="Calibri" w:hAnsi="Tahoma" w:cs="Tahoma"/>
                <w:color w:val="000000"/>
              </w:rPr>
              <w:t xml:space="preserve">ом предусмотрено предоставление </w:t>
            </w:r>
            <w:r w:rsidRPr="00E544BB">
              <w:rPr>
                <w:rFonts w:ascii="Tahoma" w:eastAsia="Calibri" w:hAnsi="Tahoma" w:cs="Tahoma"/>
                <w:color w:val="000000"/>
              </w:rPr>
              <w:t>поставщиком/подрядчиком/исполнителем обеспечения обязательств по исполнению договора</w:t>
            </w:r>
            <w:r>
              <w:rPr>
                <w:rFonts w:ascii="Tahoma" w:eastAsia="Calibri" w:hAnsi="Tahoma" w:cs="Tahoma"/>
                <w:color w:val="000000"/>
              </w:rPr>
              <w:t>.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  <w:i/>
              </w:rPr>
            </w:pPr>
            <w:r w:rsidRPr="00BA390A">
              <w:rPr>
                <w:rFonts w:ascii="Tahoma" w:hAnsi="Tahoma" w:cs="Tahoma"/>
                <w:u w:val="single"/>
              </w:rPr>
              <w:t>Язык представления отчетности:</w:t>
            </w:r>
            <w:r w:rsidRPr="00BA390A">
              <w:rPr>
                <w:rFonts w:ascii="Tahoma" w:hAnsi="Tahoma" w:cs="Tahoma"/>
              </w:rPr>
              <w:t xml:space="preserve"> на любом языке потенциального контрагента с переводом н</w:t>
            </w:r>
            <w:r>
              <w:rPr>
                <w:rFonts w:ascii="Tahoma" w:hAnsi="Tahoma" w:cs="Tahoma"/>
              </w:rPr>
              <w:t>а русский, либо английский язык</w:t>
            </w:r>
          </w:p>
        </w:tc>
      </w:tr>
      <w:tr w:rsidR="00215360" w:rsidRPr="00FE2057" w:rsidTr="00002C06">
        <w:trPr>
          <w:trHeight w:val="2407"/>
        </w:trPr>
        <w:tc>
          <w:tcPr>
            <w:tcW w:w="276" w:type="pct"/>
            <w:gridSpan w:val="2"/>
          </w:tcPr>
          <w:p w:rsidR="00215360" w:rsidRPr="00BA390A" w:rsidRDefault="00215360" w:rsidP="00002C06">
            <w:pPr>
              <w:spacing w:after="0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lastRenderedPageBreak/>
              <w:t>3.1.2.</w:t>
            </w:r>
          </w:p>
        </w:tc>
        <w:tc>
          <w:tcPr>
            <w:tcW w:w="691" w:type="pct"/>
          </w:tcPr>
          <w:p w:rsidR="00215360" w:rsidRPr="00BA390A" w:rsidRDefault="00215360" w:rsidP="00002C06">
            <w:pPr>
              <w:spacing w:after="0" w:line="240" w:lineRule="auto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Требования к оформлению комплекта документов</w:t>
            </w:r>
          </w:p>
        </w:tc>
        <w:tc>
          <w:tcPr>
            <w:tcW w:w="403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5360" w:rsidRPr="00CB0FD0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1. </w:t>
            </w:r>
            <w:r w:rsidRPr="00CB0FD0">
              <w:rPr>
                <w:rFonts w:ascii="Tahoma" w:hAnsi="Tahoma" w:cs="Tahoma"/>
                <w:b/>
              </w:rPr>
              <w:t>Требования к оформлению комплекта документов, представляемых на бумажном носителе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  <w:b/>
              </w:rPr>
              <w:t></w:t>
            </w:r>
            <w:r w:rsidRPr="00BA390A">
              <w:rPr>
                <w:rFonts w:ascii="Tahoma" w:hAnsi="Tahoma" w:cs="Tahoma"/>
                <w:b/>
              </w:rPr>
              <w:tab/>
            </w:r>
            <w:r w:rsidRPr="00BA390A">
              <w:rPr>
                <w:rFonts w:ascii="Tahoma" w:hAnsi="Tahoma" w:cs="Tahoma"/>
              </w:rPr>
              <w:t>в случае подачи документов в конверте, документы представляются в 1 экземпляре. Пакет документов включает в себя все документы, указанные в п. 3.1.1 настоящего Приложения;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 xml:space="preserve">в конверт с документами Участник закупки дополнительно вкладывает электронный носитель информации (CD-диск или </w:t>
            </w:r>
            <w:proofErr w:type="spellStart"/>
            <w:r w:rsidRPr="00BA390A">
              <w:rPr>
                <w:rFonts w:ascii="Tahoma" w:hAnsi="Tahoma" w:cs="Tahoma"/>
              </w:rPr>
              <w:t>Flash</w:t>
            </w:r>
            <w:proofErr w:type="spellEnd"/>
            <w:r w:rsidRPr="00BA390A">
              <w:rPr>
                <w:rFonts w:ascii="Tahoma" w:hAnsi="Tahoma" w:cs="Tahoma"/>
              </w:rPr>
              <w:t>-накопитель), содержащий полную электронную (сканированную) версию всех представленных документов;</w:t>
            </w:r>
          </w:p>
          <w:p w:rsidR="00215360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документы направляются Участником закупки в запечатанном конверте с сопроводительным письмом с исходящим номером и датой регистрации.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215360" w:rsidRPr="00CB0FD0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2. </w:t>
            </w:r>
            <w:r w:rsidRPr="00CB0FD0">
              <w:rPr>
                <w:rFonts w:ascii="Tahoma" w:hAnsi="Tahoma" w:cs="Tahoma"/>
                <w:b/>
              </w:rPr>
              <w:t>Требования к оформлению документов, представляемых в электронном виде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  <w:b/>
              </w:rPr>
              <w:t></w:t>
            </w:r>
            <w:r w:rsidRPr="00BA390A">
              <w:rPr>
                <w:rFonts w:ascii="Tahoma" w:hAnsi="Tahoma" w:cs="Tahoma"/>
                <w:b/>
              </w:rPr>
              <w:tab/>
            </w:r>
            <w:r w:rsidRPr="00BA390A">
              <w:rPr>
                <w:rFonts w:ascii="Tahoma" w:hAnsi="Tahoma" w:cs="Tahoma"/>
              </w:rPr>
              <w:t>в случае подачи документов через функционал ЭТП или при предоставлении документов в электронном виде, пакет документов должен содержать электронные копии документов, указанных в п. 3.1.1 настоящего Приложения;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каждый документ должен быть представлен отдельным файлом в формате *.</w:t>
            </w:r>
            <w:proofErr w:type="spellStart"/>
            <w:r w:rsidRPr="00BA390A">
              <w:rPr>
                <w:rFonts w:ascii="Tahoma" w:hAnsi="Tahoma" w:cs="Tahoma"/>
              </w:rPr>
              <w:t>pdf</w:t>
            </w:r>
            <w:proofErr w:type="spellEnd"/>
            <w:r w:rsidRPr="00BA390A">
              <w:rPr>
                <w:rFonts w:ascii="Tahoma" w:hAnsi="Tahoma" w:cs="Tahoma"/>
              </w:rPr>
              <w:t xml:space="preserve"> или в графическом формате *.</w:t>
            </w:r>
            <w:proofErr w:type="spellStart"/>
            <w:r w:rsidRPr="00BA390A">
              <w:rPr>
                <w:rFonts w:ascii="Tahoma" w:hAnsi="Tahoma" w:cs="Tahoma"/>
              </w:rPr>
              <w:t>jpg</w:t>
            </w:r>
            <w:proofErr w:type="spellEnd"/>
            <w:r w:rsidRPr="00BA390A">
              <w:rPr>
                <w:rFonts w:ascii="Tahoma" w:hAnsi="Tahoma" w:cs="Tahoma"/>
              </w:rPr>
              <w:t xml:space="preserve"> в качестве, пригодном для чтения, и поименован в соответствии с представляемым документом. Копии документов, предоставляемых в электронном виде должны быть подписаны и заверены печатью организации (при её наличии);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подача документов через ЭТП должна производиться в соответствии с документами, регламентирующими работу ЭТП (инструкциями, регламентом);</w:t>
            </w:r>
          </w:p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</w:t>
            </w:r>
            <w:r w:rsidRPr="00BA390A">
              <w:rPr>
                <w:rFonts w:ascii="Tahoma" w:hAnsi="Tahoma" w:cs="Tahoma"/>
              </w:rPr>
              <w:tab/>
              <w:t>каждый Участник вправе подавать документацию только от своего лица, не допускается подача документов за других Участников закупки/Субподрядчиков и т.д.</w:t>
            </w:r>
          </w:p>
        </w:tc>
      </w:tr>
      <w:tr w:rsidR="00215360" w:rsidRPr="00FE2057" w:rsidTr="00002C06">
        <w:trPr>
          <w:trHeight w:val="839"/>
        </w:trPr>
        <w:tc>
          <w:tcPr>
            <w:tcW w:w="276" w:type="pct"/>
            <w:gridSpan w:val="2"/>
          </w:tcPr>
          <w:p w:rsidR="00215360" w:rsidRPr="00BA390A" w:rsidRDefault="00215360" w:rsidP="00002C06">
            <w:pPr>
              <w:spacing w:after="0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3.1.3.</w:t>
            </w:r>
          </w:p>
        </w:tc>
        <w:tc>
          <w:tcPr>
            <w:tcW w:w="691" w:type="pct"/>
          </w:tcPr>
          <w:p w:rsidR="00215360" w:rsidRPr="00BA390A" w:rsidRDefault="00215360" w:rsidP="00002C06">
            <w:pPr>
              <w:spacing w:after="0" w:line="240" w:lineRule="auto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Язык предоставления документов</w:t>
            </w:r>
          </w:p>
        </w:tc>
        <w:tc>
          <w:tcPr>
            <w:tcW w:w="403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5360" w:rsidRPr="00BA390A" w:rsidRDefault="00215360" w:rsidP="00002C06">
            <w:pPr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A390A">
              <w:rPr>
                <w:rFonts w:ascii="Tahoma" w:hAnsi="Tahoma" w:cs="Tahoma"/>
              </w:rPr>
              <w:t>Все документы должны быть составлены на русском языке или иметь перевод на русский язык. Допускается предоставление документов с переводом на рус</w:t>
            </w:r>
            <w:r>
              <w:rPr>
                <w:rFonts w:ascii="Tahoma" w:hAnsi="Tahoma" w:cs="Tahoma"/>
              </w:rPr>
              <w:t>ский язык, либо английский язык</w:t>
            </w:r>
          </w:p>
        </w:tc>
      </w:tr>
      <w:tr w:rsidR="00215360" w:rsidRPr="00FE2057" w:rsidTr="00002C06">
        <w:trPr>
          <w:trHeight w:val="482"/>
        </w:trPr>
        <w:tc>
          <w:tcPr>
            <w:tcW w:w="5000" w:type="pct"/>
            <w:gridSpan w:val="7"/>
          </w:tcPr>
          <w:p w:rsidR="00215360" w:rsidRPr="00A759A4" w:rsidRDefault="00215360" w:rsidP="00002C06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Раздел № 3.2. </w:t>
            </w:r>
            <w:r w:rsidRPr="00A759A4">
              <w:rPr>
                <w:rFonts w:ascii="Tahoma" w:hAnsi="Tahoma" w:cs="Tahoma"/>
                <w:b/>
              </w:rPr>
              <w:t>Минимальные требования к участникам закупки</w:t>
            </w:r>
            <w:r w:rsidRPr="00432449">
              <w:rPr>
                <w:rStyle w:val="a7"/>
                <w:rFonts w:ascii="Tahoma" w:eastAsia="Times New Roman" w:hAnsi="Tahoma" w:cs="Tahoma"/>
                <w:b/>
                <w:bCs/>
              </w:rPr>
              <w:footnoteReference w:id="1"/>
            </w: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blHeader/>
        </w:trPr>
        <w:tc>
          <w:tcPr>
            <w:tcW w:w="215" w:type="pct"/>
            <w:tcBorders>
              <w:right w:val="single" w:sz="4" w:space="0" w:color="auto"/>
            </w:tcBorders>
          </w:tcPr>
          <w:p w:rsidR="00215360" w:rsidRPr="00BA390A" w:rsidRDefault="00215360" w:rsidP="00002C06">
            <w:pPr>
              <w:keepNext/>
              <w:keepLines/>
              <w:shd w:val="clear" w:color="auto" w:fill="FFFFFF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</w:pPr>
            <w:bookmarkStart w:id="0" w:name="_1.1_Минимальные_требования"/>
            <w:bookmarkEnd w:id="0"/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№</w:t>
            </w:r>
          </w:p>
          <w:p w:rsidR="00215360" w:rsidRPr="00BA390A" w:rsidRDefault="00215360" w:rsidP="00002C06">
            <w:pPr>
              <w:keepNext/>
              <w:keepLines/>
              <w:shd w:val="clear" w:color="auto" w:fill="FFFFFF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88" w:type="pct"/>
            <w:gridSpan w:val="3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ТРЕБОВАНИЕ</w:t>
            </w:r>
          </w:p>
        </w:tc>
        <w:tc>
          <w:tcPr>
            <w:tcW w:w="2302" w:type="pct"/>
            <w:gridSpan w:val="2"/>
          </w:tcPr>
          <w:p w:rsidR="00215360" w:rsidRPr="00BA390A" w:rsidRDefault="00215360" w:rsidP="00002C0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ОПИСАНИЕ ТРЕБОВАНИЯ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ЗАКЛЮЧЕНИЕ</w:t>
            </w: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215" w:type="pct"/>
            <w:tcBorders>
              <w:right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bookmarkStart w:id="1" w:name="_Ref383760677"/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1.</w:t>
            </w:r>
          </w:p>
        </w:tc>
        <w:bookmarkEnd w:id="1"/>
        <w:tc>
          <w:tcPr>
            <w:tcW w:w="1188" w:type="pct"/>
            <w:gridSpan w:val="3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Участник закупки:</w:t>
            </w:r>
          </w:p>
          <w:p w:rsidR="00215360" w:rsidRPr="00BA390A" w:rsidRDefault="00215360" w:rsidP="0021536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должен быть зарегистрирован в качестве юридического лица/ </w:t>
            </w: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индивидуального предпринимателя в установленном в РФ порядке (для резидентов РФ) или должен быть зарегистрирован в качестве субъекта гражданского права и иметь все необходимые разрешения для ведения деятельности по месту нахождения, месту выполнения работ (оказания услуг) в соответствии с законодательством государства и законодательством РФ (для нерезидентов РФ)</w:t>
            </w:r>
          </w:p>
        </w:tc>
        <w:tc>
          <w:tcPr>
            <w:tcW w:w="2302" w:type="pct"/>
            <w:gridSpan w:val="2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lastRenderedPageBreak/>
              <w:t>Должны быть представлены документы в соответствии с требованиями, установленными законодательством соотв</w:t>
            </w:r>
            <w:r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етствующей юрисдикцией (страны).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Документы представляются в соответствии с прилагаемым 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Перечнем регистрационных документов (</w:t>
            </w:r>
            <w:r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п. 3.1.1 настоящего Приложения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)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lastRenderedPageBreak/>
              <w:t>Не 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- представлена не полная или недостоверная информац</w:t>
            </w:r>
            <w:r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ия.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lastRenderedPageBreak/>
              <w:t>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— представлена достоверная информация в полном объеме</w:t>
            </w: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64"/>
        </w:trPr>
        <w:tc>
          <w:tcPr>
            <w:tcW w:w="21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bookmarkStart w:id="2" w:name="_Ref383765413"/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lastRenderedPageBreak/>
              <w:t>2.</w:t>
            </w:r>
          </w:p>
        </w:tc>
        <w:bookmarkEnd w:id="2"/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отношении Участника закупки не должно проводиться процедур ликвидации или банкротства, он не должен быть в судебном порядке признан банкротом, в отношении него не должно быть открыто конкурсное производство</w:t>
            </w:r>
          </w:p>
        </w:tc>
        <w:tc>
          <w:tcPr>
            <w:tcW w:w="2302" w:type="pct"/>
            <w:gridSpan w:val="2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Должно отсутствовать соответствующее решение либо иные документы, подтверждающие названные факты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Не 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— юридическое лицо находится в процессе ликвидации/ наличие вступившего в законную силу судебного решения о признании Партнера несостоятельным (банкротом) и об открытии в отношении него конкурсного производства.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br/>
            </w: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— юридическое лицо не находится в процессе ликвидации / отсутствует вступившее в законную силу судебное решение о признании Партнера несостоятельным (банкротом)</w:t>
            </w: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86"/>
        </w:trPr>
        <w:tc>
          <w:tcPr>
            <w:tcW w:w="21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proofErr w:type="spellStart"/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Неприостановление</w:t>
            </w:r>
            <w:proofErr w:type="spellEnd"/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деятельности Участника закупки в порядке, установленном Кодексом РФ об административных правонарушениях</w:t>
            </w:r>
          </w:p>
        </w:tc>
        <w:tc>
          <w:tcPr>
            <w:tcW w:w="2302" w:type="pct"/>
            <w:gridSpan w:val="2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На момент проведения проверки деятельность Участника не должна быть приостановлена в порядке, установленном Кодексом РФ об административных правонарушениях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Не 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— деятельность приостановлена в порядке, установленном Кодексом РФ об административных правонарушениях.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— деятельность не приостановлена</w:t>
            </w: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286"/>
        </w:trPr>
        <w:tc>
          <w:tcPr>
            <w:tcW w:w="21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Финансовое состояние Участника закупки, подтвержденное данными бухгалтерской отчетности, с отметкой налоговых органов о принятии</w:t>
            </w:r>
          </w:p>
        </w:tc>
        <w:tc>
          <w:tcPr>
            <w:tcW w:w="2302" w:type="pct"/>
            <w:gridSpan w:val="2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Критерии оценки финансового состояния Участника закупки, применяемые Компанией (за исключением подп.4.5), включают три показателя: коэффициент финансовой устойчивости, коэффициент финансирования (показатели 1 группы), коэффициент текущей ликвидности (показатель 2 группы).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Коэффициенты финансовой устойчивости и финансирования являются ключевыми при вынесении заключения о финансовом состоянии Участника закупки. Финансовое состояние Участника закупки принимается по наихудшему расчетному показателю 1 группы. Показатель 2 группы имеет второстепенное значение и служит в качестве дополнительной информации при формировании окончательного решения в случае, если показатели 1 группы принимают «граничные» значения (+/- 0,03 от порогового значения).</w:t>
            </w: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Обязательства, участвующие в расчете, - целевые финансирования и поступления, долгосрочные и краткосрочные обязательства, кроме сумм, отраженных по статьям «Доходы будущих периодов» и «Оценочные обязательства»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Не 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– наличие крайне неустойчивого состояния при прохождении аккредитации или при условии наличия требования в закупочной документации, а также для закупок, предусматривающих авансирование.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- представлены документы, проведена оценка и дано заключение о финансовом состоянии: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br/>
              <w:t>1) устойчивое финансовое состояние;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br/>
              <w:t xml:space="preserve">2) достаточно устойчивое финансовое состояние; 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3) неустойчивое финансовое состояние;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4) крайне неустойчивое финансовое состояние, за искл</w:t>
            </w:r>
            <w:r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ючением случаев не соответствия</w:t>
            </w: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  <w:tcBorders>
              <w:right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188" w:type="pct"/>
            <w:gridSpan w:val="3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Оценка финансового состояния нефинансовых организаций (публичных и непубличных обществ: акционерных обществ (ПАО, ЗАО, если организации не внесли соответствующие изменения в Устав общества), ООО, а также индивидуальных предпринимателей) и нерезидентов РФ (кроме подпадающих под подпункты 4.2, 4.3, 4.4 и 4.5)</w:t>
            </w:r>
          </w:p>
        </w:tc>
        <w:tc>
          <w:tcPr>
            <w:tcW w:w="3597" w:type="pct"/>
            <w:gridSpan w:val="3"/>
          </w:tcPr>
          <w:tbl>
            <w:tblPr>
              <w:tblStyle w:val="11"/>
              <w:tblW w:w="10967" w:type="dxa"/>
              <w:jc w:val="center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413"/>
              <w:gridCol w:w="1559"/>
              <w:gridCol w:w="1560"/>
              <w:gridCol w:w="1701"/>
              <w:gridCol w:w="1734"/>
            </w:tblGrid>
            <w:tr w:rsidR="00215360" w:rsidRPr="00BA390A" w:rsidTr="00002C06">
              <w:trPr>
                <w:trHeight w:val="722"/>
                <w:tblHeader/>
                <w:jc w:val="center"/>
              </w:trPr>
              <w:tc>
                <w:tcPr>
                  <w:tcW w:w="4413" w:type="dxa"/>
                  <w:shd w:val="clear" w:color="auto" w:fill="FFFFFF" w:themeFill="background1"/>
                </w:tcPr>
                <w:p w:rsidR="00215360" w:rsidRPr="00C6689F" w:rsidRDefault="00215360" w:rsidP="00002C06">
                  <w:pPr>
                    <w:keepNext/>
                    <w:keepLines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215360" w:rsidRPr="00C6689F" w:rsidRDefault="00215360" w:rsidP="00002C06">
                  <w:pPr>
                    <w:keepNext/>
                    <w:keepLines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Устойчивое</w:t>
                  </w:r>
                </w:p>
                <w:p w:rsidR="00215360" w:rsidRPr="00C6689F" w:rsidRDefault="00215360" w:rsidP="00002C06">
                  <w:pPr>
                    <w:keepNext/>
                    <w:keepLines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C6689F" w:rsidRDefault="00215360" w:rsidP="00002C06">
                  <w:pPr>
                    <w:keepNext/>
                    <w:keepLines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215360" w:rsidRPr="00C6689F" w:rsidRDefault="00215360" w:rsidP="00002C06">
                  <w:pPr>
                    <w:keepNext/>
                    <w:keepLines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Достаточно</w:t>
                  </w:r>
                </w:p>
                <w:p w:rsidR="00215360" w:rsidRPr="00C6689F" w:rsidRDefault="00215360" w:rsidP="00002C06">
                  <w:pPr>
                    <w:keepNext/>
                    <w:keepLines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устойчивое</w:t>
                  </w:r>
                </w:p>
                <w:p w:rsidR="00215360" w:rsidRPr="00C6689F" w:rsidRDefault="00215360" w:rsidP="00002C06">
                  <w:pPr>
                    <w:keepNext/>
                    <w:keepLines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C6689F" w:rsidRDefault="00215360" w:rsidP="00002C06">
                  <w:pPr>
                    <w:keepNext/>
                    <w:keepLines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215360" w:rsidRPr="00C6689F" w:rsidRDefault="00215360" w:rsidP="00002C06">
                  <w:pPr>
                    <w:keepNext/>
                    <w:keepLines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Неустойчивое</w:t>
                  </w:r>
                </w:p>
                <w:p w:rsidR="00215360" w:rsidRPr="00C6689F" w:rsidRDefault="00215360" w:rsidP="00002C06">
                  <w:pPr>
                    <w:keepNext/>
                    <w:keepLines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C6689F" w:rsidRDefault="00215360" w:rsidP="00002C06">
                  <w:pPr>
                    <w:keepNext/>
                    <w:keepLines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1734" w:type="dxa"/>
                  <w:shd w:val="clear" w:color="auto" w:fill="FFFFFF" w:themeFill="background1"/>
                </w:tcPr>
                <w:p w:rsidR="00215360" w:rsidRPr="00C6689F" w:rsidRDefault="00215360" w:rsidP="00002C06">
                  <w:pPr>
                    <w:keepNext/>
                    <w:keepLines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Крайне</w:t>
                  </w:r>
                </w:p>
                <w:p w:rsidR="00215360" w:rsidRPr="00C6689F" w:rsidRDefault="00215360" w:rsidP="00002C06">
                  <w:pPr>
                    <w:keepNext/>
                    <w:keepLines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неустойчивое</w:t>
                  </w:r>
                </w:p>
                <w:p w:rsidR="00215360" w:rsidRPr="00C6689F" w:rsidRDefault="00215360" w:rsidP="00002C06">
                  <w:pPr>
                    <w:keepNext/>
                    <w:keepLines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C6689F" w:rsidRDefault="00215360" w:rsidP="00002C06">
                  <w:pPr>
                    <w:keepNext/>
                    <w:keepLines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</w:tr>
            <w:tr w:rsidR="00215360" w:rsidRPr="00BA390A" w:rsidTr="00002C06">
              <w:trPr>
                <w:trHeight w:val="684"/>
                <w:jc w:val="center"/>
              </w:trPr>
              <w:tc>
                <w:tcPr>
                  <w:tcW w:w="4413" w:type="dxa"/>
                </w:tcPr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Коэффициент финансовой</w:t>
                  </w:r>
                </w:p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Устойчивости =</w:t>
                  </w:r>
                </w:p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(Капитал + Долгосрочные </w:t>
                  </w:r>
                </w:p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обязательства)/Пассивы)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≥0,80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0,40–0,79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0,01–0,39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4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≤0</w:t>
                  </w:r>
                </w:p>
              </w:tc>
            </w:tr>
            <w:tr w:rsidR="00215360" w:rsidRPr="00BA390A" w:rsidTr="00002C06">
              <w:trPr>
                <w:trHeight w:val="501"/>
                <w:jc w:val="center"/>
              </w:trPr>
              <w:tc>
                <w:tcPr>
                  <w:tcW w:w="4413" w:type="dxa"/>
                </w:tcPr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Коэффициент финансирования =</w:t>
                  </w:r>
                </w:p>
                <w:p w:rsidR="00215360" w:rsidRPr="00BA390A" w:rsidRDefault="00215360" w:rsidP="00002C06">
                  <w:pPr>
                    <w:tabs>
                      <w:tab w:val="center" w:pos="1584"/>
                    </w:tabs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(Капитал/Обязательства)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≥2,00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0,60–1,99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0,01–0,59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4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≤0</w:t>
                  </w:r>
                </w:p>
              </w:tc>
            </w:tr>
            <w:tr w:rsidR="00215360" w:rsidRPr="00BA390A" w:rsidTr="00002C06">
              <w:trPr>
                <w:trHeight w:val="1139"/>
                <w:jc w:val="center"/>
              </w:trPr>
              <w:tc>
                <w:tcPr>
                  <w:tcW w:w="4413" w:type="dxa"/>
                </w:tcPr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Коэффициент текущей</w:t>
                  </w:r>
                </w:p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Ликвидности =</w:t>
                  </w:r>
                </w:p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(Оборотные активы/ Краткосрочные обязательства)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≥2,00</w:t>
                  </w:r>
                </w:p>
              </w:tc>
              <w:tc>
                <w:tcPr>
                  <w:tcW w:w="1560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1,40–1,99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1,00–1,39</w:t>
                  </w:r>
                </w:p>
              </w:tc>
              <w:tc>
                <w:tcPr>
                  <w:tcW w:w="1734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≤0,99</w:t>
                  </w:r>
                </w:p>
              </w:tc>
            </w:tr>
          </w:tbl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  <w:tcBorders>
              <w:right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188" w:type="pct"/>
            <w:gridSpan w:val="3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Оценка финансового состояния негосударственных, некоммерческих организаций (учреждения, фонды, коллегии, </w:t>
            </w: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партнерства)</w:t>
            </w:r>
          </w:p>
        </w:tc>
        <w:tc>
          <w:tcPr>
            <w:tcW w:w="3597" w:type="pct"/>
            <w:gridSpan w:val="3"/>
          </w:tcPr>
          <w:tbl>
            <w:tblPr>
              <w:tblStyle w:val="11"/>
              <w:tblpPr w:leftFromText="180" w:rightFromText="180" w:vertAnchor="text" w:horzAnchor="margin" w:tblpX="-152" w:tblpY="51"/>
              <w:tblOverlap w:val="never"/>
              <w:tblW w:w="10910" w:type="dxa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1559"/>
              <w:gridCol w:w="1559"/>
              <w:gridCol w:w="1701"/>
              <w:gridCol w:w="1701"/>
            </w:tblGrid>
            <w:tr w:rsidR="00215360" w:rsidRPr="00BA390A" w:rsidTr="00002C06">
              <w:trPr>
                <w:trHeight w:val="722"/>
              </w:trPr>
              <w:tc>
                <w:tcPr>
                  <w:tcW w:w="4390" w:type="dxa"/>
                  <w:shd w:val="clear" w:color="auto" w:fill="FFFFFF" w:themeFill="background1"/>
                </w:tcPr>
                <w:p w:rsidR="00215360" w:rsidRPr="00C6689F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215360" w:rsidRPr="00C6689F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Устойчивое</w:t>
                  </w:r>
                </w:p>
                <w:p w:rsidR="00215360" w:rsidRPr="00C6689F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C6689F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215360" w:rsidRPr="00C6689F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Достаточно</w:t>
                  </w:r>
                </w:p>
                <w:p w:rsidR="00215360" w:rsidRPr="00C6689F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устойчивое</w:t>
                  </w:r>
                </w:p>
                <w:p w:rsidR="00215360" w:rsidRPr="00C6689F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C6689F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215360" w:rsidRPr="00C6689F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Неустойчивое</w:t>
                  </w:r>
                </w:p>
                <w:p w:rsidR="00215360" w:rsidRPr="00C6689F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C6689F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215360" w:rsidRPr="00C6689F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Крайне</w:t>
                  </w:r>
                </w:p>
                <w:p w:rsidR="00215360" w:rsidRPr="00C6689F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неустойчивое</w:t>
                  </w:r>
                </w:p>
                <w:p w:rsidR="00215360" w:rsidRPr="00C6689F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C6689F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C6689F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</w:tr>
            <w:tr w:rsidR="00215360" w:rsidRPr="00BA390A" w:rsidTr="00002C06">
              <w:trPr>
                <w:trHeight w:val="684"/>
              </w:trPr>
              <w:tc>
                <w:tcPr>
                  <w:tcW w:w="4390" w:type="dxa"/>
                </w:tcPr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lastRenderedPageBreak/>
                    <w:t>Коэффициент финансовой</w:t>
                  </w:r>
                </w:p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Устойчивости =</w:t>
                  </w:r>
                </w:p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Капитал+Целевое</w:t>
                  </w:r>
                  <w:proofErr w:type="spellEnd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финансирование+долгосрочные</w:t>
                  </w:r>
                  <w:proofErr w:type="spellEnd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 обязательства)/Пассивы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≥0,80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0,40–0,79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0,01–0,39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≤0</w:t>
                  </w:r>
                </w:p>
              </w:tc>
            </w:tr>
            <w:tr w:rsidR="00215360" w:rsidRPr="00BA390A" w:rsidTr="00002C06">
              <w:trPr>
                <w:trHeight w:val="501"/>
              </w:trPr>
              <w:tc>
                <w:tcPr>
                  <w:tcW w:w="4390" w:type="dxa"/>
                </w:tcPr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Коэффициент финансирования</w:t>
                  </w:r>
                </w:p>
                <w:p w:rsidR="00215360" w:rsidRPr="00BA390A" w:rsidRDefault="00215360" w:rsidP="00002C06">
                  <w:pPr>
                    <w:tabs>
                      <w:tab w:val="center" w:pos="1584"/>
                    </w:tabs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(Капитал + Целевое финансирование /Обязательства)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≥2,00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0,60–1,99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0,01–0,59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≤0</w:t>
                  </w:r>
                </w:p>
              </w:tc>
            </w:tr>
            <w:tr w:rsidR="00215360" w:rsidRPr="00BA390A" w:rsidTr="00002C06">
              <w:trPr>
                <w:trHeight w:val="1139"/>
              </w:trPr>
              <w:tc>
                <w:tcPr>
                  <w:tcW w:w="4390" w:type="dxa"/>
                </w:tcPr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Коэффициент текущей</w:t>
                  </w:r>
                </w:p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Ликвидности (Оборотные активы/ Краткосрочные обязательства)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≥2,00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1,40–1,99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1,00–1,39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≤0,99</w:t>
                  </w:r>
                </w:p>
              </w:tc>
            </w:tr>
          </w:tbl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  <w:tcBorders>
              <w:right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1188" w:type="pct"/>
            <w:gridSpan w:val="3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Оценка финансового состояния страховых компаний</w:t>
            </w:r>
          </w:p>
        </w:tc>
        <w:tc>
          <w:tcPr>
            <w:tcW w:w="3597" w:type="pct"/>
            <w:gridSpan w:val="3"/>
          </w:tcPr>
          <w:tbl>
            <w:tblPr>
              <w:tblStyle w:val="11"/>
              <w:tblpPr w:leftFromText="180" w:rightFromText="180" w:vertAnchor="text" w:horzAnchor="margin" w:tblpX="-147" w:tblpY="51"/>
              <w:tblOverlap w:val="never"/>
              <w:tblW w:w="10910" w:type="dxa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90"/>
              <w:gridCol w:w="1559"/>
              <w:gridCol w:w="1559"/>
              <w:gridCol w:w="1701"/>
              <w:gridCol w:w="1701"/>
            </w:tblGrid>
            <w:tr w:rsidR="00215360" w:rsidRPr="00BA390A" w:rsidTr="00002C06">
              <w:trPr>
                <w:trHeight w:val="722"/>
              </w:trPr>
              <w:tc>
                <w:tcPr>
                  <w:tcW w:w="4390" w:type="dxa"/>
                  <w:shd w:val="clear" w:color="auto" w:fill="FFFFFF" w:themeFill="background1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Устойчивое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Достаточно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устойчивое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Неустойчивое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Крайне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неустойчивое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</w:tr>
            <w:tr w:rsidR="00215360" w:rsidRPr="00BA390A" w:rsidTr="00002C06">
              <w:trPr>
                <w:trHeight w:val="684"/>
              </w:trPr>
              <w:tc>
                <w:tcPr>
                  <w:tcW w:w="4390" w:type="dxa"/>
                </w:tcPr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Коэффициент финансовой устойчивости = (</w:t>
                  </w:r>
                  <w:proofErr w:type="spellStart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Капитал+Страховые</w:t>
                  </w:r>
                  <w:proofErr w:type="spellEnd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 резервы по страхованию </w:t>
                  </w:r>
                  <w:proofErr w:type="spellStart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жизни+Страховые</w:t>
                  </w:r>
                  <w:proofErr w:type="spellEnd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 резервы по страхованию иному, чем страхование </w:t>
                  </w:r>
                  <w:proofErr w:type="spellStart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жизни+Оценочные</w:t>
                  </w:r>
                  <w:proofErr w:type="spellEnd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обязательства+Депо</w:t>
                  </w:r>
                  <w:proofErr w:type="spellEnd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 премий перестраховщиков)/Баланс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≥0,80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0,40–0,79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0,01–0,39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≤0</w:t>
                  </w:r>
                </w:p>
              </w:tc>
            </w:tr>
            <w:tr w:rsidR="00215360" w:rsidRPr="00BA390A" w:rsidTr="00002C06">
              <w:trPr>
                <w:trHeight w:val="501"/>
              </w:trPr>
              <w:tc>
                <w:tcPr>
                  <w:tcW w:w="4390" w:type="dxa"/>
                </w:tcPr>
                <w:p w:rsidR="00215360" w:rsidRPr="00BA390A" w:rsidRDefault="00215360" w:rsidP="00002C06">
                  <w:pPr>
                    <w:tabs>
                      <w:tab w:val="center" w:pos="29"/>
                    </w:tabs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Коэффициент финансирования = (</w:t>
                  </w:r>
                  <w:proofErr w:type="spellStart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Капитал+Страховые</w:t>
                  </w:r>
                  <w:proofErr w:type="spellEnd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 резервы по страхованию </w:t>
                  </w:r>
                  <w:proofErr w:type="spellStart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жизни+Страховые</w:t>
                  </w:r>
                  <w:proofErr w:type="spellEnd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 резервы по страхованию иному, чем страхование жизни)/(Заемные средства+ Кредиторская задолженность+ Оценочные </w:t>
                  </w:r>
                  <w:proofErr w:type="spellStart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обязательства+Депо</w:t>
                  </w:r>
                  <w:proofErr w:type="spellEnd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 премий перестраховщиков)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≥2,00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0,60–1,99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0,01–0,59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≤0</w:t>
                  </w:r>
                </w:p>
              </w:tc>
            </w:tr>
            <w:tr w:rsidR="00215360" w:rsidRPr="00BA390A" w:rsidTr="00002C06">
              <w:trPr>
                <w:trHeight w:val="1139"/>
              </w:trPr>
              <w:tc>
                <w:tcPr>
                  <w:tcW w:w="4390" w:type="dxa"/>
                </w:tcPr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Коэффициент текущей ликвидности = (Баланс -Нематериальные активы-Основные средства-Доходные вложения в материальные ценности-Финансовые вложения (за исключением денежных эквивалентов)-Долгосрочные </w:t>
                  </w: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lastRenderedPageBreak/>
                    <w:t xml:space="preserve">требования)/(Заемные </w:t>
                  </w:r>
                  <w:proofErr w:type="spellStart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срества+Кредиторская</w:t>
                  </w:r>
                  <w:proofErr w:type="spellEnd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 задолженность)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lastRenderedPageBreak/>
                    <w:t>≥2,00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1,40–1,99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1,00–1,39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≤0,99</w:t>
                  </w:r>
                </w:p>
              </w:tc>
            </w:tr>
          </w:tbl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  <w:tcBorders>
              <w:right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1188" w:type="pct"/>
            <w:gridSpan w:val="3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Оценка финансового состояния государственных (муниципальных) бюджетных и автономных учреждений</w:t>
            </w:r>
          </w:p>
        </w:tc>
        <w:tc>
          <w:tcPr>
            <w:tcW w:w="3597" w:type="pct"/>
            <w:gridSpan w:val="3"/>
          </w:tcPr>
          <w:tbl>
            <w:tblPr>
              <w:tblStyle w:val="11"/>
              <w:tblpPr w:leftFromText="180" w:rightFromText="180" w:vertAnchor="text" w:horzAnchor="margin" w:tblpX="-147" w:tblpY="51"/>
              <w:tblOverlap w:val="never"/>
              <w:tblW w:w="10910" w:type="dxa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90"/>
              <w:gridCol w:w="1559"/>
              <w:gridCol w:w="1559"/>
              <w:gridCol w:w="1701"/>
              <w:gridCol w:w="1701"/>
            </w:tblGrid>
            <w:tr w:rsidR="00215360" w:rsidRPr="00BA390A" w:rsidTr="00002C06">
              <w:trPr>
                <w:trHeight w:val="722"/>
              </w:trPr>
              <w:tc>
                <w:tcPr>
                  <w:tcW w:w="4390" w:type="dxa"/>
                  <w:shd w:val="clear" w:color="auto" w:fill="FFFFFF" w:themeFill="background1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Устойчивое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Достаточно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устойчивое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Неустойчивое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Крайне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неустойчивое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</w:tr>
            <w:tr w:rsidR="00215360" w:rsidRPr="00BA390A" w:rsidTr="00002C06">
              <w:trPr>
                <w:trHeight w:val="684"/>
              </w:trPr>
              <w:tc>
                <w:tcPr>
                  <w:tcW w:w="4390" w:type="dxa"/>
                </w:tcPr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Коэффициент финансовой устойчивости = (-Расчеты с учредителем - ABS (Финансовый результат прошлых отчетных периодов))/Баланс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≥0,80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0,40–0,79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0,01–0,39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≤0</w:t>
                  </w:r>
                </w:p>
              </w:tc>
            </w:tr>
            <w:tr w:rsidR="00215360" w:rsidRPr="00BA390A" w:rsidTr="00002C06">
              <w:trPr>
                <w:trHeight w:val="501"/>
              </w:trPr>
              <w:tc>
                <w:tcPr>
                  <w:tcW w:w="4390" w:type="dxa"/>
                </w:tcPr>
                <w:p w:rsidR="00215360" w:rsidRPr="00BA390A" w:rsidRDefault="00215360" w:rsidP="00002C06">
                  <w:pPr>
                    <w:tabs>
                      <w:tab w:val="center" w:pos="1584"/>
                    </w:tabs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Коэффициент финансирования =(-Расчеты с учредителем -ABS(Финансовый результат прошлых отчетных периодов))/ (Расчеты с кредиторами по долговым обязательствам + Расчеты по принятым обязательствам + Расчеты по средствам, полученным во временное распоряжение + Расчеты по доходам)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≥2,00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0,60–1,99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0,01–0,59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≤0</w:t>
                  </w:r>
                </w:p>
              </w:tc>
            </w:tr>
            <w:tr w:rsidR="00215360" w:rsidRPr="00BA390A" w:rsidTr="00002C06">
              <w:trPr>
                <w:trHeight w:val="699"/>
              </w:trPr>
              <w:tc>
                <w:tcPr>
                  <w:tcW w:w="4390" w:type="dxa"/>
                </w:tcPr>
                <w:p w:rsidR="00215360" w:rsidRPr="00BA390A" w:rsidRDefault="00215360" w:rsidP="00002C06">
                  <w:pPr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Коэффициент текущей ликвидности = (Баланс - </w:t>
                  </w:r>
                  <w:proofErr w:type="spellStart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Внеоборотные</w:t>
                  </w:r>
                  <w:proofErr w:type="spellEnd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 активы)/(Расчеты с кредиторами по долговым обязательствам + Расчеты по принятым обязательствам + Расчеты по средствам, полученным во временное распоряжение + Расчеты по доходам)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≥2,00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1,40–1,99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1,00–1,39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≤0,99</w:t>
                  </w:r>
                </w:p>
              </w:tc>
            </w:tr>
          </w:tbl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  <w:tcBorders>
              <w:right w:val="single" w:sz="4" w:space="0" w:color="auto"/>
            </w:tcBorders>
          </w:tcPr>
          <w:p w:rsidR="00215360" w:rsidRPr="00BA390A" w:rsidRDefault="00215360" w:rsidP="00002C06">
            <w:pPr>
              <w:keepNext/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lastRenderedPageBreak/>
              <w:t>4.5.</w:t>
            </w:r>
          </w:p>
        </w:tc>
        <w:tc>
          <w:tcPr>
            <w:tcW w:w="1188" w:type="pct"/>
            <w:gridSpan w:val="3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Оценка финансового состояния кредитных и финансовых институтов</w:t>
            </w:r>
          </w:p>
        </w:tc>
        <w:tc>
          <w:tcPr>
            <w:tcW w:w="3597" w:type="pct"/>
            <w:gridSpan w:val="3"/>
          </w:tcPr>
          <w:tbl>
            <w:tblPr>
              <w:tblStyle w:val="11"/>
              <w:tblpPr w:leftFromText="180" w:rightFromText="180" w:vertAnchor="text" w:horzAnchor="margin" w:tblpX="-147" w:tblpY="51"/>
              <w:tblOverlap w:val="never"/>
              <w:tblW w:w="10910" w:type="dxa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90"/>
              <w:gridCol w:w="1559"/>
              <w:gridCol w:w="1559"/>
              <w:gridCol w:w="1701"/>
              <w:gridCol w:w="1701"/>
            </w:tblGrid>
            <w:tr w:rsidR="00215360" w:rsidRPr="00BA390A" w:rsidTr="00002C06">
              <w:trPr>
                <w:trHeight w:val="722"/>
              </w:trPr>
              <w:tc>
                <w:tcPr>
                  <w:tcW w:w="4390" w:type="dxa"/>
                  <w:shd w:val="clear" w:color="auto" w:fill="FFFFFF" w:themeFill="background1"/>
                </w:tcPr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Устойчивое</w:t>
                  </w:r>
                </w:p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Достаточно</w:t>
                  </w:r>
                </w:p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устойчивое</w:t>
                  </w:r>
                </w:p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Неустойчивое</w:t>
                  </w:r>
                </w:p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Крайне</w:t>
                  </w:r>
                </w:p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неустойчивое</w:t>
                  </w:r>
                </w:p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финансовое</w:t>
                  </w:r>
                </w:p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состояние</w:t>
                  </w:r>
                </w:p>
              </w:tc>
            </w:tr>
            <w:tr w:rsidR="00215360" w:rsidRPr="00BA390A" w:rsidTr="00002C06">
              <w:trPr>
                <w:trHeight w:val="684"/>
              </w:trPr>
              <w:tc>
                <w:tcPr>
                  <w:tcW w:w="4390" w:type="dxa"/>
                </w:tcPr>
                <w:p w:rsidR="00215360" w:rsidRPr="00BA390A" w:rsidRDefault="00215360" w:rsidP="00002C06">
                  <w:pPr>
                    <w:keepNext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Рейтинг долгосрочной кредитоспособности кредитных организаций, присвоенный рейтинговыми агентствами </w:t>
                  </w:r>
                  <w:proofErr w:type="spellStart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Standard</w:t>
                  </w:r>
                  <w:proofErr w:type="spellEnd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 &amp; </w:t>
                  </w:r>
                  <w:proofErr w:type="spellStart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Poor's</w:t>
                  </w:r>
                  <w:proofErr w:type="spellEnd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Fitch</w:t>
                  </w:r>
                  <w:proofErr w:type="spellEnd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Ratings</w:t>
                  </w:r>
                  <w:proofErr w:type="spellEnd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Moody's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</w:p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≥ВВВ-/ВВВ-/Ваа3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</w:p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≥BB-/BB-/Ba3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</w:p>
                <w:p w:rsidR="00215360" w:rsidRPr="00BA390A" w:rsidRDefault="00215360" w:rsidP="00002C06">
                  <w:pPr>
                    <w:keepNext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&lt;BB-/BB-/Ba3 но &gt;D, либо рейтинг отсутствует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</w:p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</w:tr>
            <w:tr w:rsidR="00215360" w:rsidRPr="00BA390A" w:rsidTr="00002C06">
              <w:trPr>
                <w:trHeight w:val="501"/>
              </w:trPr>
              <w:tc>
                <w:tcPr>
                  <w:tcW w:w="4390" w:type="dxa"/>
                </w:tcPr>
                <w:p w:rsidR="00215360" w:rsidRPr="00BA390A" w:rsidRDefault="00215360" w:rsidP="00002C06">
                  <w:pPr>
                    <w:keepNext/>
                    <w:tabs>
                      <w:tab w:val="center" w:pos="1584"/>
                    </w:tabs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Ограничения на ведение деятельности со стороны соответствующего национального регулирующего органа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559" w:type="dxa"/>
                </w:tcPr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701" w:type="dxa"/>
                </w:tcPr>
                <w:p w:rsidR="00215360" w:rsidRPr="00BA390A" w:rsidRDefault="00215360" w:rsidP="00002C06">
                  <w:pPr>
                    <w:keepNext/>
                    <w:jc w:val="both"/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</w:pPr>
                  <w:r w:rsidRPr="00BA390A">
                    <w:rPr>
                      <w:rFonts w:ascii="Tahoma" w:hAnsi="Tahoma" w:cs="Tahoma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</w:tbl>
          <w:p w:rsidR="00215360" w:rsidRPr="00BA390A" w:rsidRDefault="00215360" w:rsidP="00002C0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  <w:tcBorders>
              <w:right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88" w:type="pct"/>
            <w:gridSpan w:val="3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Отсутствие в отношении Участника закупки – физического лица либо руководителя, членов коллегиального исполнительного органа или главного бухгалтера  юридического лица вступившего в законную силу судебного решения о наказании в виде лишения права занимать определенные должности или заниматься определенной деятельностью, которая связана с поставкой товаров, выполнением работ, оказанием услуг, и об административном наказании в виде дисквалификации (за исключением лиц, в отношении которых срок такого наказания истек)</w:t>
            </w:r>
          </w:p>
        </w:tc>
        <w:tc>
          <w:tcPr>
            <w:tcW w:w="2302" w:type="pct"/>
            <w:gridSpan w:val="2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Участник закупки – физическое лицо либо руководитель, член коллегиального исполнительного органа или главный бухгалтер юридического лица – Партнера не должен быть включен по указанным основаниям в реестр Федеральной налоговой службы России.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«Ре</w:t>
            </w:r>
            <w:r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естр дисквалифицированных лиц».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«Юридические лица, в состав исполнительных органов которых вхо</w:t>
            </w:r>
            <w:r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дят дисквалифицированные лица».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«Сведения о лицах, в отношении которых факт невозможности участия (осуществления руководства) в организации установлен (подтвержден) в судебном порядке».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В отношении указанных физических лиц должны отсутствовать соответствующие судебные решения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Не 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— в отношении Партнера – физического лица либо руководителя, члена коллегиального органа или главного бухгалтера имеются соответствующие судебные решения, срок наказания по которым не истек, и/или такое лицо включено в соответствующий реестр ФНС РФ, и/или Партнера включен в соответствующие реестры ФНС РФ. 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— в отношении Партнера – физического лица либо руководителя, члена коллегиального органа или главного бухгалтера отсутствуют соответствующие судебные решения, срок наказания по которым не истек, и/или такое лицо включено в соответствующий реестр ФНС РФ, и/или а также партнера не включен в соответствующие реестры ФНС РФ</w:t>
            </w: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  <w:tcBorders>
              <w:bottom w:val="single" w:sz="4" w:space="0" w:color="000000"/>
              <w:right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188" w:type="pct"/>
            <w:gridSpan w:val="3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Участник закупки не включен в Реестр недобросовестных Поставщиков, который ведется в соответствии с: </w:t>
            </w:r>
          </w:p>
          <w:p w:rsidR="00215360" w:rsidRPr="00BA390A" w:rsidRDefault="00215360" w:rsidP="00215360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Федеральным законом от 18.07.2011 № 223-ФЗ «О закупках товаров, работ, услуг отдельными видами юридических лиц»;</w:t>
            </w:r>
          </w:p>
          <w:p w:rsidR="00215360" w:rsidRPr="00BA390A" w:rsidRDefault="00215360" w:rsidP="00215360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02" w:type="pct"/>
            <w:gridSpan w:val="2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lastRenderedPageBreak/>
              <w:t>На момент проведения проверки Участник закупки не должен быть включен ни в один из следующих реестров:</w:t>
            </w:r>
          </w:p>
          <w:p w:rsidR="00215360" w:rsidRPr="00BA390A" w:rsidRDefault="00215360" w:rsidP="00215360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Реестр недобросовестных Поставщиков по Федеральному закону от 18.07.2011 № 223-ФЗ «О закупках товаров, работ, услуг 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lastRenderedPageBreak/>
              <w:t xml:space="preserve">отдельными видами юридических лиц»; </w:t>
            </w:r>
          </w:p>
          <w:p w:rsidR="00215360" w:rsidRPr="00BA390A" w:rsidRDefault="00215360" w:rsidP="00215360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Реестр недобросовестных Поставщиков по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tabs>
                <w:tab w:val="left" w:pos="25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lastRenderedPageBreak/>
              <w:t>Не 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— партнер включен в Реестр. </w:t>
            </w:r>
          </w:p>
          <w:p w:rsidR="00215360" w:rsidRPr="00BA390A" w:rsidRDefault="00215360" w:rsidP="00002C06">
            <w:pPr>
              <w:widowControl w:val="0"/>
              <w:tabs>
                <w:tab w:val="left" w:pos="25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— Партнер не включен в Реестр</w:t>
            </w: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  <w:tcBorders>
              <w:bottom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bookmarkStart w:id="3" w:name="_Ref383695583"/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Деловая репутация Участника закупки в рамках проявления должной осмотрительности в соответствии с требованиями Министерства финансов РФ</w:t>
            </w:r>
            <w:r w:rsidRPr="00BA390A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ru-RU"/>
              </w:rPr>
              <w:footnoteReference w:id="3"/>
            </w: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Федеральной налоговой службы</w:t>
            </w:r>
            <w:r w:rsidRPr="00BA390A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302" w:type="pct"/>
            <w:gridSpan w:val="2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Не соответствует:</w:t>
            </w:r>
          </w:p>
          <w:p w:rsidR="00215360" w:rsidRPr="00BA390A" w:rsidRDefault="00215360" w:rsidP="0021536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организация (резидент РФ, а также резидент государства – участника Содружества Независимых Государств (СНГ) набрала 5 и более баллов; </w:t>
            </w:r>
          </w:p>
          <w:p w:rsidR="00215360" w:rsidRPr="00BA390A" w:rsidRDefault="00215360" w:rsidP="0021536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организация (нерезидент РФ за исключением нерезидентов РФ, </w:t>
            </w: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 xml:space="preserve">являющихся резидентами государств – участников СНГ) набрала 4 и более баллов; </w:t>
            </w:r>
          </w:p>
          <w:p w:rsidR="00215360" w:rsidRPr="00BA390A" w:rsidRDefault="00215360" w:rsidP="0021536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предста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влена недостоверная информация.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Соответствует:</w:t>
            </w: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  <w:p w:rsidR="00215360" w:rsidRPr="00BA390A" w:rsidRDefault="00215360" w:rsidP="0021536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организация (резидент РФ, а также резидент государства – участника СНГ) набрала менее 5 баллов;</w:t>
            </w:r>
          </w:p>
          <w:p w:rsidR="00215360" w:rsidRPr="00BA390A" w:rsidRDefault="00215360" w:rsidP="0021536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организация (нерезидент России за исключением нерезидентов России, являющихся резидентами государств – участников СНГ) набрала менее 4 баллов;</w:t>
            </w:r>
          </w:p>
          <w:p w:rsidR="00215360" w:rsidRPr="00BA390A" w:rsidRDefault="00215360" w:rsidP="00215360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 проведении проверки организаций, существующих менее 2-х лет (на момент осуществления проверки) по требованиям, установленным в п.7.6, в случае непредставления отчетности Партнером или предоставления «нулевой» отчетности, начисляется максимальный балл</w:t>
            </w:r>
          </w:p>
        </w:tc>
      </w:tr>
      <w:bookmarkEnd w:id="3"/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  <w:tcBorders>
              <w:top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lastRenderedPageBreak/>
              <w:t>7.1.</w:t>
            </w:r>
          </w:p>
        </w:tc>
        <w:tc>
          <w:tcPr>
            <w:tcW w:w="1188" w:type="pct"/>
            <w:gridSpan w:val="3"/>
            <w:tcBorders>
              <w:bottom w:val="single" w:sz="4" w:space="0" w:color="000000"/>
            </w:tcBorders>
          </w:tcPr>
          <w:p w:rsidR="00215360" w:rsidRPr="00BA390A" w:rsidRDefault="00215360" w:rsidP="00002C0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Массовый учредитель/ руководитель</w:t>
            </w:r>
          </w:p>
        </w:tc>
        <w:tc>
          <w:tcPr>
            <w:tcW w:w="2019" w:type="pct"/>
            <w:tcBorders>
              <w:bottom w:val="single" w:sz="4" w:space="0" w:color="000000"/>
              <w:right w:val="single" w:sz="4" w:space="0" w:color="auto"/>
            </w:tcBorders>
          </w:tcPr>
          <w:p w:rsidR="00215360" w:rsidRPr="00BA390A" w:rsidRDefault="00215360" w:rsidP="0021536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физическое лицо является учредителем / руководителем 50 и более организаций — «2»;</w:t>
            </w:r>
          </w:p>
          <w:p w:rsidR="00215360" w:rsidRPr="00BA390A" w:rsidRDefault="00215360" w:rsidP="0021536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физическое лицо является учредителем / руководителем от 10 до 49 организаций — «1»;</w:t>
            </w:r>
          </w:p>
          <w:p w:rsidR="00215360" w:rsidRPr="00BA390A" w:rsidRDefault="00215360" w:rsidP="00215360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физическое лицо не является учредителем / руководителем 10 и более организаций — «0»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000000"/>
            </w:tcBorders>
          </w:tcPr>
          <w:p w:rsidR="00215360" w:rsidRPr="00BA390A" w:rsidRDefault="00215360" w:rsidP="00002C0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0/ 1 / 2</w:t>
            </w:r>
          </w:p>
        </w:tc>
        <w:tc>
          <w:tcPr>
            <w:tcW w:w="1295" w:type="pct"/>
            <w:tcBorders>
              <w:bottom w:val="single" w:sz="4" w:space="0" w:color="000000"/>
            </w:tcBorders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c>
          <w:tcPr>
            <w:tcW w:w="21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1188" w:type="pct"/>
            <w:gridSpan w:val="3"/>
            <w:tcBorders>
              <w:top w:val="nil"/>
            </w:tcBorders>
          </w:tcPr>
          <w:p w:rsidR="00215360" w:rsidRPr="00BA390A" w:rsidRDefault="00215360" w:rsidP="00002C06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Совмещение должностей: руководитель и главный бухгалтер Партнера/Участника закупки представлены в одном лице</w:t>
            </w:r>
          </w:p>
        </w:tc>
        <w:tc>
          <w:tcPr>
            <w:tcW w:w="2019" w:type="pct"/>
            <w:tcBorders>
              <w:top w:val="nil"/>
              <w:right w:val="single" w:sz="4" w:space="0" w:color="auto"/>
            </w:tcBorders>
          </w:tcPr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имеется факт совмещения должностей — «1»;</w:t>
            </w:r>
          </w:p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нет факта совмещения должностей — «0»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</w:tcBorders>
          </w:tcPr>
          <w:p w:rsidR="00215360" w:rsidRPr="00BA390A" w:rsidRDefault="00215360" w:rsidP="00002C0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 / 1</w:t>
            </w:r>
          </w:p>
        </w:tc>
        <w:tc>
          <w:tcPr>
            <w:tcW w:w="1295" w:type="pct"/>
            <w:tcBorders>
              <w:top w:val="nil"/>
            </w:tcBorders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</w:tcPr>
          <w:p w:rsidR="00215360" w:rsidRPr="00BA390A" w:rsidRDefault="00215360" w:rsidP="00002C06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Адрес массовой регистрации юридических лиц.</w:t>
            </w:r>
            <w:r w:rsidRPr="00BA390A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ru-RU"/>
              </w:rPr>
              <w:footnoteReference w:id="5"/>
            </w:r>
          </w:p>
          <w:p w:rsidR="00215360" w:rsidRPr="00BA390A" w:rsidRDefault="00215360" w:rsidP="00002C06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215360" w:rsidRPr="00BA390A" w:rsidRDefault="00215360" w:rsidP="00002C06">
            <w:pPr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Требование не применяется для организаций – нерезидентов РФ</w:t>
            </w:r>
          </w:p>
        </w:tc>
        <w:tc>
          <w:tcPr>
            <w:tcW w:w="2019" w:type="pct"/>
            <w:tcBorders>
              <w:right w:val="single" w:sz="4" w:space="0" w:color="auto"/>
            </w:tcBorders>
          </w:tcPr>
          <w:p w:rsidR="00215360" w:rsidRPr="00BA390A" w:rsidRDefault="00215360" w:rsidP="00215360">
            <w:pPr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адрес массовой регистрации 50 и более юридических лиц — «2»;</w:t>
            </w:r>
          </w:p>
          <w:p w:rsidR="00215360" w:rsidRPr="00BA390A" w:rsidRDefault="00215360" w:rsidP="00215360">
            <w:pPr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адрес массовой регистрации от 10 до 50 юридических лиц — «1»;</w:t>
            </w:r>
          </w:p>
          <w:p w:rsidR="00215360" w:rsidRPr="00BA390A" w:rsidRDefault="00215360" w:rsidP="00215360">
            <w:pPr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обратное — «0»</w:t>
            </w:r>
          </w:p>
        </w:tc>
        <w:tc>
          <w:tcPr>
            <w:tcW w:w="283" w:type="pct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0 / 1 / 2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Непродолжительный срок существования Участника закупки (государственная регистрация юридического лица или физического лица в качестве индивидуального предпринимателя осуществлена менее, чем за 24 календарных месяца до момента осуществления проверки)</w:t>
            </w:r>
          </w:p>
        </w:tc>
        <w:tc>
          <w:tcPr>
            <w:tcW w:w="2019" w:type="pct"/>
            <w:tcBorders>
              <w:right w:val="single" w:sz="4" w:space="0" w:color="auto"/>
            </w:tcBorders>
          </w:tcPr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срок существования менее 1 года (государственная регистрация юридического лица или физического лица в качестве индивидуального предпринимателя осуществлена менее, чем за 12 календарных месяца до момента осуществления проверки) — «2»;</w:t>
            </w:r>
          </w:p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срок существования от 1-го до 2-х лет (государственная регистрация юридического лица или физического лица в качестве индивидуального предпринимателя осуществлена более, чем за 12 и менее, чем за 24 календарных месяца до момента осуществления проверки) — «1»; </w:t>
            </w:r>
          </w:p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срок существования более 2-х лет (государственная регистрация юридического лица или физического лица в качестве индивидуального предпринимателя осуществлена ранее, чем за 24 календарных месяца до момента осуществления проверки) — «0»</w:t>
            </w:r>
          </w:p>
        </w:tc>
        <w:tc>
          <w:tcPr>
            <w:tcW w:w="283" w:type="pct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 / 1 / 2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413"/>
        </w:trPr>
        <w:tc>
          <w:tcPr>
            <w:tcW w:w="21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Незначительная численность (среднесписочная численность работников за предшествующий проверке календарный год менее 10 человек или отсутствует кадровый состав)</w:t>
            </w:r>
          </w:p>
        </w:tc>
        <w:tc>
          <w:tcPr>
            <w:tcW w:w="2019" w:type="pct"/>
            <w:tcBorders>
              <w:right w:val="single" w:sz="4" w:space="0" w:color="auto"/>
            </w:tcBorders>
          </w:tcPr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численность персонала 5 и менее человек или отсутствие кадрового состава — «2»;</w:t>
            </w:r>
          </w:p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численность персонала от 6 до 10 человек — «1»;</w:t>
            </w:r>
          </w:p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численность персонала более 10 человек — «0»</w:t>
            </w:r>
          </w:p>
        </w:tc>
        <w:tc>
          <w:tcPr>
            <w:tcW w:w="283" w:type="pct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 / 1 / 2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Получение Участником закупки по итогам </w:t>
            </w:r>
            <w:r w:rsidRPr="00BA390A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двух</w:t>
            </w: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отчетных периодов (календарных годов), предшествующих году подачи документов на проверку финансового результата в виде убытка и/или равного «0» в соответствии с применяющимися бухгалтерскими стандартами (РСБУ, МФСО)</w:t>
            </w:r>
          </w:p>
        </w:tc>
        <w:tc>
          <w:tcPr>
            <w:tcW w:w="2019" w:type="pct"/>
            <w:tcBorders>
              <w:right w:val="single" w:sz="4" w:space="0" w:color="auto"/>
            </w:tcBorders>
          </w:tcPr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 итогам двух отчетных периодов - убыток и/или финансовый результат равен «0» — «1»;</w:t>
            </w:r>
          </w:p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отсутствие убытка по итогам двух отчетных периодов и/или финансовый результат более «0» — «0»</w:t>
            </w:r>
          </w:p>
        </w:tc>
        <w:tc>
          <w:tcPr>
            <w:tcW w:w="283" w:type="pct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 / 1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848"/>
        </w:trPr>
        <w:tc>
          <w:tcPr>
            <w:tcW w:w="21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lastRenderedPageBreak/>
              <w:t>7.7.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Наличие у Участника закупки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РФ о налогах и сборах,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</w:t>
            </w:r>
          </w:p>
        </w:tc>
        <w:tc>
          <w:tcPr>
            <w:tcW w:w="2019" w:type="pct"/>
            <w:tcBorders>
              <w:right w:val="single" w:sz="4" w:space="0" w:color="auto"/>
            </w:tcBorders>
          </w:tcPr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имеется неисполненная задолженность перед бюджетом — «1»;</w:t>
            </w:r>
          </w:p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нет неисполненной задолженности перед бюджетом — «0».</w:t>
            </w:r>
          </w:p>
          <w:p w:rsidR="00215360" w:rsidRPr="00386000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8600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Отсутствие задолженности согласно Справке о состоянии расчетов по налогам, сборам, пеням, штрафам (по форме КНД 1120101)</w:t>
            </w:r>
          </w:p>
        </w:tc>
        <w:tc>
          <w:tcPr>
            <w:tcW w:w="283" w:type="pct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 / 1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  <w:tcBorders>
              <w:top w:val="nil"/>
            </w:tcBorders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Страна регистрации Участника закупки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</w:t>
            </w:r>
          </w:p>
        </w:tc>
        <w:tc>
          <w:tcPr>
            <w:tcW w:w="2019" w:type="pct"/>
            <w:tcBorders>
              <w:right w:val="single" w:sz="4" w:space="0" w:color="auto"/>
            </w:tcBorders>
          </w:tcPr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страна регистрации Участника закупки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 (в соответствии с приказом Министерства Финансов РФ № 108н от 13.11.2007) – «1»;</w:t>
            </w:r>
          </w:p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страна регистрации Участника закупки не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 (в соответствии с приказом Министерства Финансов РФ от 13.11.2007 № 108н) – «0»</w:t>
            </w:r>
          </w:p>
        </w:tc>
        <w:tc>
          <w:tcPr>
            <w:tcW w:w="283" w:type="pct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 / 1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Отсутствие в анкете контактной информации Участника закупки, его руководителей (уполномоченных должностных лиц)</w:t>
            </w:r>
          </w:p>
        </w:tc>
        <w:tc>
          <w:tcPr>
            <w:tcW w:w="2019" w:type="pct"/>
            <w:tcBorders>
              <w:right w:val="single" w:sz="4" w:space="0" w:color="auto"/>
            </w:tcBorders>
          </w:tcPr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отсутствует в анкете контактная информация Участника закупки – «1»;</w:t>
            </w:r>
          </w:p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имеется контактная информация Участника закупки – «0»</w:t>
            </w:r>
          </w:p>
        </w:tc>
        <w:tc>
          <w:tcPr>
            <w:tcW w:w="283" w:type="pct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 / 1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  <w:tcBorders>
              <w:top w:val="nil"/>
            </w:tcBorders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lastRenderedPageBreak/>
              <w:t>7.10.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Неоднократное снятие с учета и постановка на учет в налоговых органах налогоплательщика в связи с изменением места нахождения («миграция» между налоговыми органами). Проверке подлежат данные за последние 60 календарных месяцев до момента осуществления проверки</w:t>
            </w:r>
          </w:p>
        </w:tc>
        <w:tc>
          <w:tcPr>
            <w:tcW w:w="2019" w:type="pct"/>
            <w:tcBorders>
              <w:right w:val="single" w:sz="4" w:space="0" w:color="auto"/>
            </w:tcBorders>
          </w:tcPr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неоднократное (2 и более раз) снятие с учета и постановка на учет в налоговых органах налогоплательщика в связи с изменением места нахождения («миграция» между налоговыми органами) — «1»;</w:t>
            </w:r>
          </w:p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(«миграция» между налоговыми органами) – «0»</w:t>
            </w:r>
          </w:p>
        </w:tc>
        <w:tc>
          <w:tcPr>
            <w:tcW w:w="283" w:type="pct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 / 1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413"/>
        </w:trPr>
        <w:tc>
          <w:tcPr>
            <w:tcW w:w="215" w:type="pct"/>
            <w:tcBorders>
              <w:bottom w:val="single" w:sz="4" w:space="0" w:color="000000"/>
            </w:tcBorders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7.11.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Отсутствие исполнительных производств в отношении Участника закупки</w:t>
            </w:r>
          </w:p>
        </w:tc>
        <w:tc>
          <w:tcPr>
            <w:tcW w:w="2019" w:type="pct"/>
            <w:tcBorders>
              <w:right w:val="single" w:sz="4" w:space="0" w:color="auto"/>
            </w:tcBorders>
          </w:tcPr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имеется непогашенная задолженность по исполнительным производствам на момент проверки – «1»;</w:t>
            </w:r>
          </w:p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отсутствует непогашенная задолженность по исполнительным производствам на момент проверки – «0»</w:t>
            </w:r>
          </w:p>
        </w:tc>
        <w:tc>
          <w:tcPr>
            <w:tcW w:w="283" w:type="pct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 / 1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  <w:tcBorders>
              <w:bottom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7.12.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Юридический адрес участника закупки не признан недостоверным в результате проверки регистрирующим органом достоверности содержащихся в ЕГРЮЛ сведений о юридическом лице</w:t>
            </w:r>
          </w:p>
        </w:tc>
        <w:tc>
          <w:tcPr>
            <w:tcW w:w="2019" w:type="pct"/>
            <w:tcBorders>
              <w:right w:val="single" w:sz="4" w:space="0" w:color="auto"/>
            </w:tcBorders>
          </w:tcPr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компания отсутствует по юридическому адресу по данным ФНС России – «1»;</w:t>
            </w:r>
          </w:p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ЕГРЮЛ отсутствует информация о недостоверности сведений в отношении адреса регистрации – «0»</w:t>
            </w:r>
          </w:p>
        </w:tc>
        <w:tc>
          <w:tcPr>
            <w:tcW w:w="283" w:type="pct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 / 1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  <w:tcBorders>
              <w:top w:val="single" w:sz="4" w:space="0" w:color="auto"/>
            </w:tcBorders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7.13.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Участник закупки не сдает финансовую отчетность в органы государственной статистики.</w:t>
            </w:r>
          </w:p>
          <w:p w:rsidR="00215360" w:rsidRPr="00BA390A" w:rsidRDefault="00215360" w:rsidP="00002C06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Требование не применяется для организаций – нерезидентов РФ</w:t>
            </w:r>
          </w:p>
        </w:tc>
        <w:tc>
          <w:tcPr>
            <w:tcW w:w="2019" w:type="pct"/>
            <w:tcBorders>
              <w:right w:val="single" w:sz="4" w:space="0" w:color="auto"/>
            </w:tcBorders>
          </w:tcPr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участник закупки не сдает финансовую отчетность в органы государственной статистики (сдал менее одного раза за последние 24 календарных месяца до момента осуществления проверки) — «1»;</w:t>
            </w:r>
          </w:p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участник закупки сдает финансовую отчетность в органы государственной статистики (сдал один и более раз за последние 24 календарных месяца до момента осуществления проверки) — «0»</w:t>
            </w:r>
          </w:p>
        </w:tc>
        <w:tc>
          <w:tcPr>
            <w:tcW w:w="283" w:type="pct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 / 1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7.14.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Стоимость чистых активов Партнера/ Участника закупки в течение последних 2-х лет (24 календарных месяца до момента осуществления проверки) не должна быть ниже величины уставного капитала</w:t>
            </w:r>
          </w:p>
        </w:tc>
        <w:tc>
          <w:tcPr>
            <w:tcW w:w="2019" w:type="pct"/>
            <w:tcBorders>
              <w:right w:val="single" w:sz="4" w:space="0" w:color="auto"/>
            </w:tcBorders>
          </w:tcPr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стоимость чистых активов Партнера/ Участника закупки в течение 2-х лет (24 календарных месяца до момента осуществления проверки) ниже величины уставного капитала – «2»;</w:t>
            </w:r>
          </w:p>
          <w:p w:rsidR="00215360" w:rsidRPr="00BA390A" w:rsidRDefault="00215360" w:rsidP="00215360">
            <w:pPr>
              <w:widowControl w:val="0"/>
              <w:numPr>
                <w:ilvl w:val="1"/>
                <w:numId w:val="3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стоимость чистых активов Партнера/ Участника закупки в течение 2-х лет (24 календарных месяца до момента осуществления проверки) не ниже величины уставного </w:t>
            </w: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капитала – «0»</w:t>
            </w:r>
          </w:p>
        </w:tc>
        <w:tc>
          <w:tcPr>
            <w:tcW w:w="283" w:type="pct"/>
            <w:tcBorders>
              <w:left w:val="single" w:sz="4" w:space="0" w:color="auto"/>
            </w:tcBorders>
          </w:tcPr>
          <w:p w:rsidR="00215360" w:rsidRPr="00BA390A" w:rsidRDefault="00215360" w:rsidP="00002C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0 / 2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Отсутствие процессуальных решений правоохранительных органов в отношении руководителя, собственника Участника закупки за преступления в сфере экономики</w:t>
            </w:r>
          </w:p>
        </w:tc>
        <w:tc>
          <w:tcPr>
            <w:tcW w:w="2302" w:type="pct"/>
            <w:gridSpan w:val="2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Должны отсутствовать процессуальные решения правоохранительных органов (в том числе судебные решения либо решения органа дознания/следователя/прокурора о прекращении уголовного преследования на основании ст. 25, 27 ч. 1 п. 3, 28, 28.1 Уголовно-процессуального кодекса РФ) и судимости за преступления в сфере экономики. Проверка проводится,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Не 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— имеются соответствующие решения правоохранительных органов в отношении руководителя (собственника) Партнера в течение последних 2-х лет (24 календарных месяца до момента осуществления проверки) либо судимость за преступление не погашена или не снята. 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— отсутствуют соответствующие решения правоохранительных органов в отношении руководителя (собственника) Партнера в течение последних 2-х лет (24 календарных месяца до момента осуществления проверки) либо судимость за преступление погашена или снята</w:t>
            </w: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Раскрытие информации в отношении всей цепочки собственников, включая бенефициаров (в том числе конечных)</w:t>
            </w:r>
          </w:p>
        </w:tc>
        <w:tc>
          <w:tcPr>
            <w:tcW w:w="2302" w:type="pct"/>
            <w:gridSpan w:val="2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Должны быть представлены сведения по установленной форме в Анкете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Не 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- не предоставлена информация; цепочка собственников не раскрыта полностью; предоставлены недостоверные сведения.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– информация предоставлена в полном объеме</w:t>
            </w:r>
          </w:p>
        </w:tc>
      </w:tr>
      <w:tr w:rsidR="00215360" w:rsidRPr="00BA390A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188" w:type="pct"/>
            <w:gridSpan w:val="3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157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 отношении участника закупки организациями АО «Зарубежнефть» и его ДО не ведется </w:t>
            </w:r>
            <w:proofErr w:type="spellStart"/>
            <w:r w:rsidRPr="005157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5157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-исковая работа или отсутствуют вступившие в законную силу решения суда о ненадлежащем исполнении договорных обязательств перед АО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 w:rsidRPr="0051570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«Зарубежнефть» и ДО</w:t>
            </w:r>
          </w:p>
        </w:tc>
        <w:tc>
          <w:tcPr>
            <w:tcW w:w="2302" w:type="pct"/>
            <w:gridSpan w:val="2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515707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В отношении Уч</w:t>
            </w:r>
            <w:r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астника закупки должна вестись </w:t>
            </w:r>
            <w:proofErr w:type="spellStart"/>
            <w:r w:rsidRPr="00515707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515707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-исковая работа или отсутствовать соответствующие судебные решения</w:t>
            </w:r>
          </w:p>
        </w:tc>
        <w:tc>
          <w:tcPr>
            <w:tcW w:w="1295" w:type="pct"/>
          </w:tcPr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Не 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– ведение </w:t>
            </w:r>
            <w:proofErr w:type="spellStart"/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-исковой работы или наличие судебного решения в отношении Участника закупки о ненадлежащем исполнении договорных обязательств перед АО «Зарубежнефть» и его ДО.</w:t>
            </w:r>
          </w:p>
          <w:p w:rsidR="00215360" w:rsidRPr="00BA390A" w:rsidRDefault="00215360" w:rsidP="00002C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</w:pPr>
            <w:r w:rsidRPr="00BA390A">
              <w:rPr>
                <w:rFonts w:ascii="Tahoma" w:eastAsia="Arial Unicode MS" w:hAnsi="Tahoma" w:cs="Tahoma"/>
                <w:b/>
                <w:sz w:val="20"/>
                <w:szCs w:val="20"/>
                <w:lang w:eastAsia="ru-RU"/>
              </w:rPr>
              <w:t>Соответствует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</w:t>
            </w:r>
            <w:r w:rsidRPr="00BA390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–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 отсутствие </w:t>
            </w:r>
            <w:proofErr w:type="spellStart"/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t xml:space="preserve">-исковой работы или вступившего в силу судебного решения в отношении Участника </w:t>
            </w:r>
            <w:r w:rsidRPr="00BA390A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lastRenderedPageBreak/>
              <w:t>закупки о ненадлежащем исполнении договорных обязательств перед АО «Зарубежнефть» и его ДО</w:t>
            </w:r>
          </w:p>
        </w:tc>
      </w:tr>
      <w:tr w:rsidR="00215360" w:rsidRPr="001D3BAE" w:rsidTr="00002C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215" w:type="pct"/>
          </w:tcPr>
          <w:p w:rsidR="00215360" w:rsidRPr="001D3BAE" w:rsidRDefault="00215360" w:rsidP="00002C0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D3BAE">
              <w:rPr>
                <w:rFonts w:ascii="Tahoma" w:eastAsia="Arial Unicode MS" w:hAnsi="Tahoma" w:cs="Tahom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188" w:type="pct"/>
            <w:gridSpan w:val="3"/>
          </w:tcPr>
          <w:p w:rsidR="00215360" w:rsidRPr="001D3BAE" w:rsidRDefault="00215360" w:rsidP="0000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D3B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Отсутствие между участником закупки и Организатором/Заказчиком закупки конфликта интересов</w:t>
            </w:r>
          </w:p>
        </w:tc>
        <w:tc>
          <w:tcPr>
            <w:tcW w:w="2302" w:type="pct"/>
            <w:gridSpan w:val="2"/>
          </w:tcPr>
          <w:p w:rsidR="00215360" w:rsidRPr="001D3BAE" w:rsidRDefault="00215360" w:rsidP="0000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D3B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Проверка проводится на основании данных, указанных контрагентом в п. 21 Анкеты участника закупки, по внутренним базам данных УКБ, по информации из открытых источников</w:t>
            </w:r>
          </w:p>
        </w:tc>
        <w:tc>
          <w:tcPr>
            <w:tcW w:w="1295" w:type="pct"/>
          </w:tcPr>
          <w:p w:rsidR="00215360" w:rsidRPr="001D3BAE" w:rsidRDefault="00215360" w:rsidP="0000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1D3BAE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Не соответствует</w:t>
            </w:r>
            <w:r w:rsidRPr="001D3B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– имеется конфликт интересов.</w:t>
            </w:r>
          </w:p>
          <w:p w:rsidR="00215360" w:rsidRPr="001D3BAE" w:rsidRDefault="00215360" w:rsidP="0000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D3BAE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Соответствует</w:t>
            </w:r>
            <w:r w:rsidRPr="001D3B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– конфликт интересов отсутствует</w:t>
            </w:r>
          </w:p>
        </w:tc>
      </w:tr>
    </w:tbl>
    <w:p w:rsidR="00862696" w:rsidRPr="00215360" w:rsidRDefault="00EC1421" w:rsidP="00215360">
      <w:bookmarkStart w:id="4" w:name="_GoBack"/>
      <w:bookmarkEnd w:id="4"/>
    </w:p>
    <w:sectPr w:rsidR="00862696" w:rsidRPr="00215360" w:rsidSect="00096BA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21" w:rsidRDefault="00EC1421" w:rsidP="00215360">
      <w:pPr>
        <w:spacing w:after="0" w:line="240" w:lineRule="auto"/>
      </w:pPr>
      <w:r>
        <w:separator/>
      </w:r>
    </w:p>
  </w:endnote>
  <w:endnote w:type="continuationSeparator" w:id="0">
    <w:p w:rsidR="00EC1421" w:rsidRDefault="00EC1421" w:rsidP="0021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21" w:rsidRDefault="00EC1421" w:rsidP="00215360">
      <w:pPr>
        <w:spacing w:after="0" w:line="240" w:lineRule="auto"/>
      </w:pPr>
      <w:r>
        <w:separator/>
      </w:r>
    </w:p>
  </w:footnote>
  <w:footnote w:type="continuationSeparator" w:id="0">
    <w:p w:rsidR="00EC1421" w:rsidRDefault="00EC1421" w:rsidP="00215360">
      <w:pPr>
        <w:spacing w:after="0" w:line="240" w:lineRule="auto"/>
      </w:pPr>
      <w:r>
        <w:continuationSeparator/>
      </w:r>
    </w:p>
  </w:footnote>
  <w:footnote w:id="1">
    <w:p w:rsidR="00215360" w:rsidRPr="00BD77CF" w:rsidRDefault="00215360" w:rsidP="00215360">
      <w:pPr>
        <w:pStyle w:val="a8"/>
        <w:jc w:val="both"/>
        <w:rPr>
          <w:rFonts w:ascii="Tahoma" w:hAnsi="Tahoma" w:cs="Tahoma"/>
          <w:lang w:val="ru-RU"/>
        </w:rPr>
      </w:pPr>
      <w:r w:rsidRPr="00BD77CF">
        <w:rPr>
          <w:rStyle w:val="a7"/>
          <w:rFonts w:ascii="Tahoma" w:hAnsi="Tahoma" w:cs="Tahoma"/>
        </w:rPr>
        <w:footnoteRef/>
      </w:r>
      <w:r w:rsidRPr="00BD77CF">
        <w:rPr>
          <w:rFonts w:ascii="Tahoma" w:hAnsi="Tahoma" w:cs="Tahoma"/>
          <w:lang w:val="ru-RU"/>
        </w:rPr>
        <w:t xml:space="preserve"> Представленные требования распространяются на индивидуальных предпринимателей, за исключением </w:t>
      </w:r>
      <w:proofErr w:type="spellStart"/>
      <w:r w:rsidRPr="00BD77CF">
        <w:rPr>
          <w:rFonts w:ascii="Tahoma" w:hAnsi="Tahoma" w:cs="Tahoma"/>
          <w:lang w:val="ru-RU"/>
        </w:rPr>
        <w:t>пп</w:t>
      </w:r>
      <w:proofErr w:type="spellEnd"/>
      <w:r w:rsidRPr="00BD77CF">
        <w:rPr>
          <w:rFonts w:ascii="Tahoma" w:hAnsi="Tahoma" w:cs="Tahoma"/>
          <w:lang w:val="ru-RU"/>
        </w:rPr>
        <w:t>. 7.2, 7.8, 7.13 и 7.14.</w:t>
      </w:r>
    </w:p>
  </w:footnote>
  <w:footnote w:id="2">
    <w:p w:rsidR="00215360" w:rsidRPr="00BD77CF" w:rsidRDefault="00215360" w:rsidP="00215360">
      <w:pPr>
        <w:pStyle w:val="a8"/>
        <w:jc w:val="both"/>
        <w:rPr>
          <w:rFonts w:ascii="Tahoma" w:hAnsi="Tahoma" w:cs="Tahoma"/>
          <w:szCs w:val="18"/>
          <w:lang w:val="ru-RU"/>
        </w:rPr>
      </w:pPr>
      <w:r w:rsidRPr="00BD77CF">
        <w:rPr>
          <w:rStyle w:val="a7"/>
          <w:rFonts w:ascii="Tahoma" w:hAnsi="Tahoma" w:cs="Tahoma"/>
        </w:rPr>
        <w:footnoteRef/>
      </w:r>
      <w:r w:rsidRPr="00BD77CF">
        <w:rPr>
          <w:rFonts w:ascii="Tahoma" w:hAnsi="Tahoma" w:cs="Tahoma"/>
          <w:lang w:val="ru-RU"/>
        </w:rPr>
        <w:t xml:space="preserve"> Участник закупки обязан подтвердить надлежащими документами соответствие требованиям к участнику закупки на дату представления заявки. Каждый документ должен быть представлен отдельным файлом в формате </w:t>
      </w:r>
      <w:r w:rsidRPr="00BD77CF">
        <w:rPr>
          <w:rFonts w:ascii="Tahoma" w:hAnsi="Tahoma" w:cs="Tahoma"/>
        </w:rPr>
        <w:t>pdf</w:t>
      </w:r>
      <w:r w:rsidRPr="00BD77CF">
        <w:rPr>
          <w:rFonts w:ascii="Tahoma" w:hAnsi="Tahoma" w:cs="Tahoma"/>
          <w:lang w:val="ru-RU"/>
        </w:rPr>
        <w:t xml:space="preserve"> или в графическом формате </w:t>
      </w:r>
      <w:r w:rsidRPr="00BD77CF">
        <w:rPr>
          <w:rFonts w:ascii="Tahoma" w:hAnsi="Tahoma" w:cs="Tahoma"/>
        </w:rPr>
        <w:t>jpg</w:t>
      </w:r>
      <w:r w:rsidRPr="00BD77CF">
        <w:rPr>
          <w:rFonts w:ascii="Tahoma" w:hAnsi="Tahoma" w:cs="Tahoma"/>
          <w:lang w:val="ru-RU"/>
        </w:rPr>
        <w:t>, быть пригодным для чтения, и поименован в соответствии с представляемым документом.</w:t>
      </w:r>
    </w:p>
  </w:footnote>
  <w:footnote w:id="3">
    <w:p w:rsidR="00215360" w:rsidRPr="00BD77CF" w:rsidRDefault="00215360" w:rsidP="00215360">
      <w:pPr>
        <w:pStyle w:val="a8"/>
        <w:jc w:val="both"/>
        <w:rPr>
          <w:rFonts w:ascii="Tahoma" w:hAnsi="Tahoma" w:cs="Tahoma"/>
          <w:lang w:val="ru-RU"/>
        </w:rPr>
      </w:pPr>
      <w:r w:rsidRPr="00BD77CF">
        <w:rPr>
          <w:rStyle w:val="a7"/>
          <w:rFonts w:ascii="Tahoma" w:hAnsi="Tahoma" w:cs="Tahoma"/>
        </w:rPr>
        <w:footnoteRef/>
      </w:r>
      <w:r w:rsidRPr="00BD77CF">
        <w:rPr>
          <w:rFonts w:ascii="Tahoma" w:hAnsi="Tahoma" w:cs="Tahoma"/>
          <w:lang w:val="ru-RU"/>
        </w:rPr>
        <w:t xml:space="preserve"> Письма Министерства финансов РФ:</w:t>
      </w:r>
    </w:p>
    <w:p w:rsidR="00215360" w:rsidRPr="00BD77CF" w:rsidRDefault="00215360" w:rsidP="00215360">
      <w:pPr>
        <w:pStyle w:val="a8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lang w:val="ru-RU"/>
        </w:rPr>
      </w:pPr>
      <w:r w:rsidRPr="00BD77CF">
        <w:rPr>
          <w:rFonts w:ascii="Tahoma" w:hAnsi="Tahoma" w:cs="Tahoma"/>
          <w:lang w:val="ru-RU"/>
        </w:rPr>
        <w:t>от 10.04.2009 № 03-02-07/1-177 «О добросовестности налогоплательщика при заключении сделок с контрагентами»;</w:t>
      </w:r>
    </w:p>
    <w:p w:rsidR="00215360" w:rsidRPr="00BD77CF" w:rsidRDefault="00215360" w:rsidP="00215360">
      <w:pPr>
        <w:pStyle w:val="a8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lang w:val="ru-RU"/>
        </w:rPr>
      </w:pPr>
      <w:r w:rsidRPr="00BD77CF">
        <w:rPr>
          <w:rFonts w:ascii="Tahoma" w:hAnsi="Tahoma" w:cs="Tahoma"/>
          <w:lang w:val="ru-RU"/>
        </w:rPr>
        <w:t>от 13.12.2011 № 03-02-07/1-430 «О порядке проверки контрагентов»;</w:t>
      </w:r>
    </w:p>
    <w:p w:rsidR="00215360" w:rsidRPr="00BD77CF" w:rsidRDefault="00215360" w:rsidP="00215360">
      <w:pPr>
        <w:pStyle w:val="a8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lang w:val="ru-RU"/>
        </w:rPr>
      </w:pPr>
      <w:r w:rsidRPr="00BD77CF">
        <w:rPr>
          <w:rFonts w:ascii="Tahoma" w:hAnsi="Tahoma" w:cs="Tahoma"/>
          <w:lang w:val="ru-RU"/>
        </w:rPr>
        <w:t>от 03.08.2012 № 03-02-07/1-197 «О подтверждении добросовестности контрагента»;</w:t>
      </w:r>
    </w:p>
    <w:p w:rsidR="00215360" w:rsidRPr="00BD77CF" w:rsidRDefault="00215360" w:rsidP="00215360">
      <w:pPr>
        <w:pStyle w:val="a8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lang w:val="ru-RU"/>
        </w:rPr>
      </w:pPr>
      <w:r w:rsidRPr="00BD77CF">
        <w:rPr>
          <w:rFonts w:ascii="Tahoma" w:hAnsi="Tahoma" w:cs="Tahoma"/>
          <w:lang w:val="ru-RU"/>
        </w:rPr>
        <w:t>от 17.12.2014 № 03-02-07/1/65228 «О проявлении налогоплательщиком должной осмотрительности и осторожности при выборе контрагента».</w:t>
      </w:r>
    </w:p>
  </w:footnote>
  <w:footnote w:id="4">
    <w:p w:rsidR="00215360" w:rsidRPr="00BD77CF" w:rsidRDefault="00215360" w:rsidP="00215360">
      <w:pPr>
        <w:pStyle w:val="a8"/>
        <w:jc w:val="both"/>
        <w:rPr>
          <w:rFonts w:ascii="Tahoma" w:hAnsi="Tahoma" w:cs="Tahoma"/>
        </w:rPr>
      </w:pPr>
      <w:r w:rsidRPr="00BD77CF">
        <w:rPr>
          <w:rStyle w:val="a7"/>
          <w:rFonts w:ascii="Tahoma" w:hAnsi="Tahoma" w:cs="Tahoma"/>
        </w:rPr>
        <w:footnoteRef/>
      </w:r>
      <w:r w:rsidRPr="00BD77CF">
        <w:rPr>
          <w:rFonts w:ascii="Tahoma" w:hAnsi="Tahoma" w:cs="Tahoma"/>
        </w:rPr>
        <w:t xml:space="preserve"> </w:t>
      </w:r>
      <w:proofErr w:type="spellStart"/>
      <w:r w:rsidRPr="00BD77CF">
        <w:rPr>
          <w:rFonts w:ascii="Tahoma" w:hAnsi="Tahoma" w:cs="Tahoma"/>
        </w:rPr>
        <w:t>Письма</w:t>
      </w:r>
      <w:proofErr w:type="spellEnd"/>
      <w:r w:rsidRPr="00BD77CF">
        <w:rPr>
          <w:rFonts w:ascii="Tahoma" w:hAnsi="Tahoma" w:cs="Tahoma"/>
        </w:rPr>
        <w:t xml:space="preserve"> </w:t>
      </w:r>
      <w:proofErr w:type="spellStart"/>
      <w:r w:rsidRPr="00BD77CF">
        <w:rPr>
          <w:rFonts w:ascii="Tahoma" w:hAnsi="Tahoma" w:cs="Tahoma"/>
        </w:rPr>
        <w:t>Федеральной</w:t>
      </w:r>
      <w:proofErr w:type="spellEnd"/>
      <w:r w:rsidRPr="00BD77CF">
        <w:rPr>
          <w:rFonts w:ascii="Tahoma" w:hAnsi="Tahoma" w:cs="Tahoma"/>
        </w:rPr>
        <w:t xml:space="preserve"> </w:t>
      </w:r>
      <w:proofErr w:type="spellStart"/>
      <w:r w:rsidRPr="00BD77CF">
        <w:rPr>
          <w:rFonts w:ascii="Tahoma" w:hAnsi="Tahoma" w:cs="Tahoma"/>
        </w:rPr>
        <w:t>налоговой</w:t>
      </w:r>
      <w:proofErr w:type="spellEnd"/>
      <w:r w:rsidRPr="00BD77CF">
        <w:rPr>
          <w:rFonts w:ascii="Tahoma" w:hAnsi="Tahoma" w:cs="Tahoma"/>
        </w:rPr>
        <w:t xml:space="preserve"> </w:t>
      </w:r>
      <w:proofErr w:type="spellStart"/>
      <w:r w:rsidRPr="00BD77CF">
        <w:rPr>
          <w:rFonts w:ascii="Tahoma" w:hAnsi="Tahoma" w:cs="Tahoma"/>
        </w:rPr>
        <w:t>службы</w:t>
      </w:r>
      <w:proofErr w:type="spellEnd"/>
      <w:r w:rsidRPr="00BD77CF">
        <w:rPr>
          <w:rFonts w:ascii="Tahoma" w:hAnsi="Tahoma" w:cs="Tahoma"/>
        </w:rPr>
        <w:t>:</w:t>
      </w:r>
    </w:p>
    <w:p w:rsidR="00215360" w:rsidRPr="00BD77CF" w:rsidRDefault="00215360" w:rsidP="00215360">
      <w:pPr>
        <w:pStyle w:val="a8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lang w:val="ru-RU"/>
        </w:rPr>
      </w:pPr>
      <w:r w:rsidRPr="00BD77CF">
        <w:rPr>
          <w:rFonts w:ascii="Tahoma" w:hAnsi="Tahoma" w:cs="Tahoma"/>
          <w:lang w:val="ru-RU"/>
        </w:rPr>
        <w:t>от 11.02.2010 № 37-07/84 «О рассмотрении обращений»;</w:t>
      </w:r>
    </w:p>
    <w:p w:rsidR="00215360" w:rsidRPr="00BD77CF" w:rsidRDefault="00215360" w:rsidP="00215360">
      <w:pPr>
        <w:pStyle w:val="a8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lang w:val="ru-RU"/>
        </w:rPr>
      </w:pPr>
      <w:r w:rsidRPr="00BD77CF">
        <w:rPr>
          <w:rFonts w:ascii="Tahoma" w:hAnsi="Tahoma" w:cs="Tahoma"/>
          <w:lang w:val="ru-RU"/>
        </w:rPr>
        <w:t>от 17.10.2012 № АС-4-2/17710 «О проявлении должной осмотрительности в выборе контрагентов»;</w:t>
      </w:r>
    </w:p>
    <w:p w:rsidR="00215360" w:rsidRPr="00BD77CF" w:rsidRDefault="00215360" w:rsidP="00215360">
      <w:pPr>
        <w:pStyle w:val="a8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lang w:val="ru-RU"/>
        </w:rPr>
      </w:pPr>
      <w:r w:rsidRPr="00BD77CF">
        <w:rPr>
          <w:rFonts w:ascii="Tahoma" w:hAnsi="Tahoma" w:cs="Tahoma"/>
          <w:lang w:val="ru-RU"/>
        </w:rPr>
        <w:t>от 02.06.2016 № ГД-4-8/9849 «Об организации работы по взаимодействию с правоохранительными органами в случае выявления признаков налоговых преступлений»;</w:t>
      </w:r>
    </w:p>
    <w:p w:rsidR="00215360" w:rsidRPr="00BD77CF" w:rsidRDefault="00215360" w:rsidP="00215360">
      <w:pPr>
        <w:pStyle w:val="a8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lang w:val="ru-RU"/>
        </w:rPr>
      </w:pPr>
      <w:r w:rsidRPr="00BD77CF">
        <w:rPr>
          <w:rFonts w:ascii="Tahoma" w:hAnsi="Tahoma" w:cs="Tahoma"/>
          <w:lang w:val="ru-RU"/>
        </w:rPr>
        <w:t>от 03.08.2016 № ГД-4-14/14127 «О проведении работы в отношении юридических лиц, зарегистрированных до 1 августа 2016 года и имеющих признаки недостоверности»;</w:t>
      </w:r>
    </w:p>
    <w:p w:rsidR="00215360" w:rsidRPr="00BD77CF" w:rsidRDefault="00215360" w:rsidP="00215360">
      <w:pPr>
        <w:pStyle w:val="a8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lang w:val="ru-RU"/>
        </w:rPr>
      </w:pPr>
      <w:r w:rsidRPr="00BD77CF">
        <w:rPr>
          <w:rFonts w:ascii="Tahoma" w:hAnsi="Tahoma" w:cs="Tahoma"/>
          <w:lang w:val="ru-RU"/>
        </w:rPr>
        <w:t>от 12.05.2017 N АС-4-2/8872 «Ответ на обращение».</w:t>
      </w:r>
    </w:p>
    <w:p w:rsidR="00215360" w:rsidRPr="00BD77CF" w:rsidRDefault="00215360" w:rsidP="00215360">
      <w:pPr>
        <w:pStyle w:val="a8"/>
        <w:jc w:val="both"/>
        <w:rPr>
          <w:rFonts w:ascii="Tahoma" w:hAnsi="Tahoma"/>
          <w:lang w:val="ru-RU"/>
        </w:rPr>
      </w:pPr>
      <w:r w:rsidRPr="00BD77CF">
        <w:rPr>
          <w:rFonts w:ascii="Tahoma" w:hAnsi="Tahoma" w:cs="Tahoma"/>
          <w:lang w:val="ru-RU"/>
        </w:rPr>
        <w:t>Приказ ФНС России от 11.02.2016 № ММВ-7-14/72 «Об утверждении оснований, условий и способов проведения указанных в пункте 4.2 статьи 9 Федерального закона «О государственной регистрации</w:t>
      </w:r>
      <w:r w:rsidRPr="00BD77CF">
        <w:rPr>
          <w:rFonts w:ascii="Tahoma" w:hAnsi="Tahoma" w:cs="Tahoma"/>
        </w:rPr>
        <w:t> </w:t>
      </w:r>
      <w:r w:rsidRPr="00BD77CF">
        <w:rPr>
          <w:rFonts w:ascii="Tahoma" w:hAnsi="Tahoma" w:cs="Tahoma"/>
          <w:lang w:val="ru-RU"/>
        </w:rPr>
        <w:t>юридических лиц и индивидуальных предпринимателей» мероприятий, формы письменного возражения относительно предстоящей государственной регистрации изменений устава юридического</w:t>
      </w:r>
      <w:r w:rsidRPr="00BD77CF">
        <w:rPr>
          <w:rFonts w:ascii="Tahoma" w:hAnsi="Tahoma" w:cs="Tahoma"/>
        </w:rPr>
        <w:t> </w:t>
      </w:r>
      <w:r w:rsidRPr="00BD77CF">
        <w:rPr>
          <w:rFonts w:ascii="Tahoma" w:hAnsi="Tahoma" w:cs="Tahoma"/>
          <w:lang w:val="ru-RU"/>
        </w:rPr>
        <w:t>лица или предстоящего внесения сведений в единый государственный реестр юридических лиц, формы заявления физического лица о недостоверности сведений о нем в едином государственном реестре юридических лиц».</w:t>
      </w:r>
    </w:p>
  </w:footnote>
  <w:footnote w:id="5">
    <w:p w:rsidR="00215360" w:rsidRPr="00BD77CF" w:rsidRDefault="00215360" w:rsidP="00215360">
      <w:pPr>
        <w:spacing w:after="0" w:line="240" w:lineRule="auto"/>
        <w:jc w:val="both"/>
        <w:rPr>
          <w:rFonts w:ascii="Tahoma" w:eastAsia="Times New Roman" w:hAnsi="Tahoma" w:cs="Tahoma"/>
          <w:sz w:val="20"/>
        </w:rPr>
      </w:pPr>
      <w:r w:rsidRPr="00BD77CF">
        <w:rPr>
          <w:rStyle w:val="a7"/>
          <w:rFonts w:ascii="Tahoma" w:hAnsi="Tahoma" w:cs="Tahoma"/>
          <w:sz w:val="20"/>
        </w:rPr>
        <w:footnoteRef/>
      </w:r>
      <w:r w:rsidRPr="00BD77CF">
        <w:rPr>
          <w:rFonts w:ascii="Tahoma" w:hAnsi="Tahoma" w:cs="Tahoma"/>
          <w:sz w:val="20"/>
        </w:rPr>
        <w:t xml:space="preserve"> В соответствии с данными сайта ФНС России www.nalog.ru. Адреса, указанные при государственной регистрации в качестве места нахождения несколькими юридическими лицами.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2E"/>
    <w:multiLevelType w:val="hybridMultilevel"/>
    <w:tmpl w:val="F552CD86"/>
    <w:lvl w:ilvl="0" w:tplc="07824048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7448F"/>
    <w:multiLevelType w:val="hybridMultilevel"/>
    <w:tmpl w:val="ED52F4AE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537A9"/>
    <w:multiLevelType w:val="hybridMultilevel"/>
    <w:tmpl w:val="2D488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7A2E"/>
    <w:multiLevelType w:val="hybridMultilevel"/>
    <w:tmpl w:val="28E40140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C0676"/>
    <w:multiLevelType w:val="hybridMultilevel"/>
    <w:tmpl w:val="1E283AD0"/>
    <w:lvl w:ilvl="0" w:tplc="0866A63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43140"/>
    <w:multiLevelType w:val="hybridMultilevel"/>
    <w:tmpl w:val="119C03C0"/>
    <w:lvl w:ilvl="0" w:tplc="54AEE6B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63A0E"/>
    <w:multiLevelType w:val="hybridMultilevel"/>
    <w:tmpl w:val="CB72791E"/>
    <w:lvl w:ilvl="0" w:tplc="AA7C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8659D"/>
    <w:multiLevelType w:val="hybridMultilevel"/>
    <w:tmpl w:val="18CCC0F4"/>
    <w:lvl w:ilvl="0" w:tplc="0866A63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E09E2"/>
    <w:multiLevelType w:val="hybridMultilevel"/>
    <w:tmpl w:val="4C40BAEA"/>
    <w:lvl w:ilvl="0" w:tplc="0B284250">
      <w:start w:val="1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A0208C"/>
    <w:multiLevelType w:val="hybridMultilevel"/>
    <w:tmpl w:val="9C446E2C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C0741"/>
    <w:multiLevelType w:val="hybridMultilevel"/>
    <w:tmpl w:val="DA324778"/>
    <w:lvl w:ilvl="0" w:tplc="034CE10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825754D"/>
    <w:multiLevelType w:val="hybridMultilevel"/>
    <w:tmpl w:val="BC825358"/>
    <w:lvl w:ilvl="0" w:tplc="202C7EFA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C7FFE"/>
    <w:multiLevelType w:val="hybridMultilevel"/>
    <w:tmpl w:val="0D50145C"/>
    <w:lvl w:ilvl="0" w:tplc="0F2695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14050"/>
    <w:multiLevelType w:val="hybridMultilevel"/>
    <w:tmpl w:val="1346B3D2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B46D2"/>
    <w:multiLevelType w:val="hybridMultilevel"/>
    <w:tmpl w:val="473089FC"/>
    <w:lvl w:ilvl="0" w:tplc="AA7CF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FF7AA8"/>
    <w:multiLevelType w:val="hybridMultilevel"/>
    <w:tmpl w:val="0EE017D2"/>
    <w:lvl w:ilvl="0" w:tplc="550C2A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E60FA"/>
    <w:multiLevelType w:val="hybridMultilevel"/>
    <w:tmpl w:val="9C10A764"/>
    <w:lvl w:ilvl="0" w:tplc="0E88DD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75AF8"/>
    <w:multiLevelType w:val="hybridMultilevel"/>
    <w:tmpl w:val="54329390"/>
    <w:lvl w:ilvl="0" w:tplc="0F2695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90D3C"/>
    <w:multiLevelType w:val="hybridMultilevel"/>
    <w:tmpl w:val="491622AE"/>
    <w:lvl w:ilvl="0" w:tplc="E968F1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8043A"/>
    <w:multiLevelType w:val="hybridMultilevel"/>
    <w:tmpl w:val="88940F0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AD2BB9"/>
    <w:multiLevelType w:val="hybridMultilevel"/>
    <w:tmpl w:val="05F03074"/>
    <w:lvl w:ilvl="0" w:tplc="0866A63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34D27"/>
    <w:multiLevelType w:val="hybridMultilevel"/>
    <w:tmpl w:val="12768D86"/>
    <w:lvl w:ilvl="0" w:tplc="0F2695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C5D9E"/>
    <w:multiLevelType w:val="hybridMultilevel"/>
    <w:tmpl w:val="7206ECB4"/>
    <w:lvl w:ilvl="0" w:tplc="AA7CF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37777E"/>
    <w:multiLevelType w:val="hybridMultilevel"/>
    <w:tmpl w:val="96F22C02"/>
    <w:lvl w:ilvl="0" w:tplc="20D84A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75A49"/>
    <w:multiLevelType w:val="hybridMultilevel"/>
    <w:tmpl w:val="8B027782"/>
    <w:lvl w:ilvl="0" w:tplc="51861B0C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82E51"/>
    <w:multiLevelType w:val="hybridMultilevel"/>
    <w:tmpl w:val="49468FE2"/>
    <w:lvl w:ilvl="0" w:tplc="0866A63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12577"/>
    <w:multiLevelType w:val="hybridMultilevel"/>
    <w:tmpl w:val="DD884E80"/>
    <w:lvl w:ilvl="0" w:tplc="AA7CF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E31D14"/>
    <w:multiLevelType w:val="hybridMultilevel"/>
    <w:tmpl w:val="6E9CF39C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13B1D"/>
    <w:multiLevelType w:val="hybridMultilevel"/>
    <w:tmpl w:val="B71EA75C"/>
    <w:lvl w:ilvl="0" w:tplc="3C8AF8F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8E3415"/>
    <w:multiLevelType w:val="hybridMultilevel"/>
    <w:tmpl w:val="7478C428"/>
    <w:lvl w:ilvl="0" w:tplc="E0B047B0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B80FC2"/>
    <w:multiLevelType w:val="hybridMultilevel"/>
    <w:tmpl w:val="FC3C3D78"/>
    <w:lvl w:ilvl="0" w:tplc="AB624B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A41B99"/>
    <w:multiLevelType w:val="hybridMultilevel"/>
    <w:tmpl w:val="ABC65AE6"/>
    <w:lvl w:ilvl="0" w:tplc="9B3E0A84">
      <w:start w:val="1"/>
      <w:numFmt w:val="decimal"/>
      <w:suff w:val="space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2" w15:restartNumberingAfterBreak="0">
    <w:nsid w:val="5B6C7F82"/>
    <w:multiLevelType w:val="hybridMultilevel"/>
    <w:tmpl w:val="DE6A0748"/>
    <w:lvl w:ilvl="0" w:tplc="AA7C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B143B"/>
    <w:multiLevelType w:val="hybridMultilevel"/>
    <w:tmpl w:val="8730D294"/>
    <w:lvl w:ilvl="0" w:tplc="064E2C2A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6096F"/>
    <w:multiLevelType w:val="hybridMultilevel"/>
    <w:tmpl w:val="6E4A798E"/>
    <w:lvl w:ilvl="0" w:tplc="AFE0D9C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4A7744"/>
    <w:multiLevelType w:val="hybridMultilevel"/>
    <w:tmpl w:val="938AA462"/>
    <w:lvl w:ilvl="0" w:tplc="7AFCA52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B365EC"/>
    <w:multiLevelType w:val="hybridMultilevel"/>
    <w:tmpl w:val="402641FE"/>
    <w:lvl w:ilvl="0" w:tplc="AA7C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63114"/>
    <w:multiLevelType w:val="hybridMultilevel"/>
    <w:tmpl w:val="4964FF98"/>
    <w:lvl w:ilvl="0" w:tplc="24D6B1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DC0293"/>
    <w:multiLevelType w:val="hybridMultilevel"/>
    <w:tmpl w:val="C2B8995E"/>
    <w:lvl w:ilvl="0" w:tplc="AA7C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221D1"/>
    <w:multiLevelType w:val="hybridMultilevel"/>
    <w:tmpl w:val="0A54AF9A"/>
    <w:lvl w:ilvl="0" w:tplc="488A5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53FD3"/>
    <w:multiLevelType w:val="hybridMultilevel"/>
    <w:tmpl w:val="71DC777C"/>
    <w:lvl w:ilvl="0" w:tplc="034CE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4CE1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64437"/>
    <w:multiLevelType w:val="hybridMultilevel"/>
    <w:tmpl w:val="AC6C18EA"/>
    <w:lvl w:ilvl="0" w:tplc="14FAFBAC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6"/>
  </w:num>
  <w:num w:numId="3">
    <w:abstractNumId w:val="36"/>
  </w:num>
  <w:num w:numId="4">
    <w:abstractNumId w:val="34"/>
  </w:num>
  <w:num w:numId="5">
    <w:abstractNumId w:val="41"/>
  </w:num>
  <w:num w:numId="6">
    <w:abstractNumId w:val="37"/>
  </w:num>
  <w:num w:numId="7">
    <w:abstractNumId w:val="4"/>
  </w:num>
  <w:num w:numId="8">
    <w:abstractNumId w:val="22"/>
  </w:num>
  <w:num w:numId="9">
    <w:abstractNumId w:val="11"/>
  </w:num>
  <w:num w:numId="10">
    <w:abstractNumId w:val="28"/>
  </w:num>
  <w:num w:numId="11">
    <w:abstractNumId w:val="24"/>
  </w:num>
  <w:num w:numId="12">
    <w:abstractNumId w:val="0"/>
  </w:num>
  <w:num w:numId="13">
    <w:abstractNumId w:val="14"/>
  </w:num>
  <w:num w:numId="14">
    <w:abstractNumId w:val="6"/>
  </w:num>
  <w:num w:numId="15">
    <w:abstractNumId w:val="25"/>
  </w:num>
  <w:num w:numId="16">
    <w:abstractNumId w:val="12"/>
  </w:num>
  <w:num w:numId="17">
    <w:abstractNumId w:val="5"/>
  </w:num>
  <w:num w:numId="18">
    <w:abstractNumId w:val="35"/>
  </w:num>
  <w:num w:numId="19">
    <w:abstractNumId w:val="19"/>
  </w:num>
  <w:num w:numId="20">
    <w:abstractNumId w:val="18"/>
  </w:num>
  <w:num w:numId="21">
    <w:abstractNumId w:val="29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23"/>
  </w:num>
  <w:num w:numId="27">
    <w:abstractNumId w:val="15"/>
  </w:num>
  <w:num w:numId="28">
    <w:abstractNumId w:val="38"/>
  </w:num>
  <w:num w:numId="29">
    <w:abstractNumId w:val="21"/>
  </w:num>
  <w:num w:numId="30">
    <w:abstractNumId w:val="17"/>
  </w:num>
  <w:num w:numId="31">
    <w:abstractNumId w:val="32"/>
  </w:num>
  <w:num w:numId="32">
    <w:abstractNumId w:val="2"/>
  </w:num>
  <w:num w:numId="33">
    <w:abstractNumId w:val="33"/>
  </w:num>
  <w:num w:numId="34">
    <w:abstractNumId w:val="8"/>
  </w:num>
  <w:num w:numId="35">
    <w:abstractNumId w:val="40"/>
  </w:num>
  <w:num w:numId="36">
    <w:abstractNumId w:val="3"/>
  </w:num>
  <w:num w:numId="37">
    <w:abstractNumId w:val="9"/>
  </w:num>
  <w:num w:numId="38">
    <w:abstractNumId w:val="27"/>
  </w:num>
  <w:num w:numId="39">
    <w:abstractNumId w:val="1"/>
  </w:num>
  <w:num w:numId="40">
    <w:abstractNumId w:val="13"/>
  </w:num>
  <w:num w:numId="41">
    <w:abstractNumId w:val="10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E9"/>
    <w:rsid w:val="00005581"/>
    <w:rsid w:val="00074C7A"/>
    <w:rsid w:val="00096BAC"/>
    <w:rsid w:val="00125297"/>
    <w:rsid w:val="001464EB"/>
    <w:rsid w:val="001A1994"/>
    <w:rsid w:val="001A3373"/>
    <w:rsid w:val="00215360"/>
    <w:rsid w:val="002819FF"/>
    <w:rsid w:val="002A4346"/>
    <w:rsid w:val="004263E9"/>
    <w:rsid w:val="00521AD0"/>
    <w:rsid w:val="00542E28"/>
    <w:rsid w:val="005609F7"/>
    <w:rsid w:val="005F08CE"/>
    <w:rsid w:val="00672863"/>
    <w:rsid w:val="00885906"/>
    <w:rsid w:val="008A1085"/>
    <w:rsid w:val="0095231A"/>
    <w:rsid w:val="00B80375"/>
    <w:rsid w:val="00C00796"/>
    <w:rsid w:val="00CF7BE4"/>
    <w:rsid w:val="00E210A6"/>
    <w:rsid w:val="00E96AAE"/>
    <w:rsid w:val="00EC1421"/>
    <w:rsid w:val="00F84D32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D598"/>
  <w15:chartTrackingRefBased/>
  <w15:docId w15:val="{A9CD3A28-00D8-4760-99BD-39B42B97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60"/>
  </w:style>
  <w:style w:type="paragraph" w:styleId="1">
    <w:name w:val="heading 1"/>
    <w:aliases w:val="Знак"/>
    <w:basedOn w:val="a"/>
    <w:next w:val="a"/>
    <w:link w:val="10"/>
    <w:uiPriority w:val="9"/>
    <w:qFormat/>
    <w:rsid w:val="005F0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_IRAO,List Paragraph"/>
    <w:basedOn w:val="a"/>
    <w:link w:val="a5"/>
    <w:uiPriority w:val="34"/>
    <w:qFormat/>
    <w:rsid w:val="00E96AAE"/>
    <w:pPr>
      <w:ind w:left="720"/>
      <w:contextualSpacing/>
    </w:pPr>
  </w:style>
  <w:style w:type="character" w:customStyle="1" w:styleId="a5">
    <w:name w:val="Абзац списка Знак"/>
    <w:aliases w:val="Bullet_IRAO Знак,List Paragraph Знак"/>
    <w:link w:val="a4"/>
    <w:uiPriority w:val="34"/>
    <w:locked/>
    <w:rsid w:val="00E96AAE"/>
  </w:style>
  <w:style w:type="paragraph" w:styleId="a6">
    <w:name w:val="No Spacing"/>
    <w:uiPriority w:val="1"/>
    <w:qFormat/>
    <w:rsid w:val="00542E2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next w:val="a3"/>
    <w:uiPriority w:val="59"/>
    <w:rsid w:val="0095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нак Знак"/>
    <w:basedOn w:val="a0"/>
    <w:link w:val="1"/>
    <w:uiPriority w:val="9"/>
    <w:rsid w:val="005F08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71">
    <w:name w:val="Сетка таблицы71"/>
    <w:basedOn w:val="a1"/>
    <w:next w:val="a3"/>
    <w:uiPriority w:val="59"/>
    <w:rsid w:val="005F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3"/>
    <w:uiPriority w:val="59"/>
    <w:rsid w:val="00F8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uiPriority w:val="99"/>
    <w:semiHidden/>
    <w:rsid w:val="00215360"/>
    <w:rPr>
      <w:rFonts w:ascii="Times New Roman" w:hAnsi="Times New Roman"/>
      <w:vertAlign w:val="superscript"/>
    </w:rPr>
  </w:style>
  <w:style w:type="paragraph" w:styleId="a8">
    <w:name w:val="footnote text"/>
    <w:basedOn w:val="a"/>
    <w:link w:val="a9"/>
    <w:uiPriority w:val="99"/>
    <w:rsid w:val="00215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21536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1">
    <w:name w:val="Сетка таблицы1"/>
    <w:basedOn w:val="a1"/>
    <w:next w:val="a3"/>
    <w:uiPriority w:val="99"/>
    <w:rsid w:val="0021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8DE1DC06510742854A859D34732D3F" ma:contentTypeVersion="0" ma:contentTypeDescription="Создание документа." ma:contentTypeScope="" ma:versionID="faddc6f11771df5294dee4d6f6ea2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f5ad2598568528273edd6943bf06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02A24-8BE7-4036-9690-6FC3EDD72E62}"/>
</file>

<file path=customXml/itemProps2.xml><?xml version="1.0" encoding="utf-8"?>
<ds:datastoreItem xmlns:ds="http://schemas.openxmlformats.org/officeDocument/2006/customXml" ds:itemID="{87512A8D-C499-43C5-B992-8BD5ABD49165}"/>
</file>

<file path=customXml/itemProps3.xml><?xml version="1.0" encoding="utf-8"?>
<ds:datastoreItem xmlns:ds="http://schemas.openxmlformats.org/officeDocument/2006/customXml" ds:itemID="{66456F8F-EC28-4EFD-AA0C-26249E9BB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4166</Words>
  <Characters>23748</Characters>
  <Application>Microsoft Office Word</Application>
  <DocSecurity>0</DocSecurity>
  <Lines>197</Lines>
  <Paragraphs>55</Paragraphs>
  <ScaleCrop>false</ScaleCrop>
  <Company/>
  <LinksUpToDate>false</LinksUpToDate>
  <CharactersWithSpaces>27859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 Приложение № 1 к Документации о закупке. Требования к участникам закупки</dc:title>
  <dc:subject/>
  <dc:creator>Пантюшин Владислав Юльевич</dc:creator>
  <cp:keywords/>
  <dc:description/>
  <cp:lastModifiedBy>Пантюшин Владислав Юльевич</cp:lastModifiedBy>
  <cp:revision>9</cp:revision>
  <dcterms:created xsi:type="dcterms:W3CDTF">2020-10-05T08:16:00Z</dcterms:created>
  <dcterms:modified xsi:type="dcterms:W3CDTF">2020-10-05T11:38:00Z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0x0101003C8DE1DC06510742854A859D34732D3F</vt:lpwstr>
  </property>
</Properties>
</file>